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29" w:rsidRDefault="002A3A29" w:rsidP="00B3189E">
      <w:pPr>
        <w:jc w:val="center"/>
        <w:rPr>
          <w:rFonts w:ascii="Arial" w:hAnsi="Arial" w:cs="Arial"/>
          <w:i/>
          <w:sz w:val="20"/>
          <w:szCs w:val="20"/>
        </w:rPr>
      </w:pPr>
      <w:r>
        <w:rPr>
          <w:rFonts w:ascii="Arial" w:hAnsi="Arial" w:cs="Arial"/>
          <w:i/>
          <w:noProof/>
          <w:sz w:val="20"/>
          <w:szCs w:val="20"/>
          <w:lang w:eastAsia="en-GB"/>
        </w:rPr>
        <w:drawing>
          <wp:inline distT="0" distB="0" distL="0" distR="0">
            <wp:extent cx="2085975" cy="711980"/>
            <wp:effectExtent l="0" t="0" r="0" b="0"/>
            <wp:docPr id="1" name="Picture 1" descr="C:\Users\lsinden\Objects\thurrock_safeguarding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inden\Objects\thurrock_safeguarding_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711980"/>
                    </a:xfrm>
                    <a:prstGeom prst="rect">
                      <a:avLst/>
                    </a:prstGeom>
                    <a:noFill/>
                    <a:ln>
                      <a:noFill/>
                    </a:ln>
                  </pic:spPr>
                </pic:pic>
              </a:graphicData>
            </a:graphic>
          </wp:inline>
        </w:drawing>
      </w:r>
    </w:p>
    <w:p w:rsidR="00B3189E" w:rsidRPr="004B779A" w:rsidRDefault="00B3189E" w:rsidP="00B3189E">
      <w:pPr>
        <w:jc w:val="center"/>
        <w:rPr>
          <w:rFonts w:ascii="Arial" w:hAnsi="Arial" w:cs="Arial"/>
          <w:i/>
          <w:sz w:val="20"/>
          <w:szCs w:val="20"/>
        </w:rPr>
      </w:pPr>
      <w:r w:rsidRPr="004B779A">
        <w:rPr>
          <w:rFonts w:ascii="Arial" w:hAnsi="Arial" w:cs="Arial"/>
          <w:i/>
          <w:sz w:val="20"/>
          <w:szCs w:val="20"/>
        </w:rPr>
        <w:t>“To work in partnership, preventing abuse and ensuring excellent practice and timely responses to the safety and protection of individuals or groups within our communities”</w:t>
      </w:r>
    </w:p>
    <w:p w:rsidR="00B3189E" w:rsidRPr="004B779A" w:rsidRDefault="00B3189E" w:rsidP="009B209E">
      <w:pPr>
        <w:rPr>
          <w:rFonts w:ascii="Arial" w:hAnsi="Arial" w:cs="Arial"/>
        </w:rPr>
      </w:pPr>
    </w:p>
    <w:p w:rsidR="00B3189E" w:rsidRPr="004B779A" w:rsidRDefault="00B3189E" w:rsidP="009B209E">
      <w:pPr>
        <w:rPr>
          <w:rFonts w:ascii="Arial" w:hAnsi="Arial" w:cs="Arial"/>
        </w:rPr>
      </w:pPr>
    </w:p>
    <w:p w:rsidR="004B288B" w:rsidRPr="004B779A" w:rsidRDefault="004B288B" w:rsidP="009B209E">
      <w:pPr>
        <w:rPr>
          <w:rFonts w:ascii="Arial" w:hAnsi="Arial" w:cs="Arial"/>
          <w:b/>
          <w:sz w:val="40"/>
          <w:szCs w:val="40"/>
        </w:rPr>
      </w:pPr>
    </w:p>
    <w:p w:rsidR="004B288B" w:rsidRPr="004B779A" w:rsidRDefault="004B288B" w:rsidP="009B209E">
      <w:pPr>
        <w:rPr>
          <w:rFonts w:ascii="Arial" w:hAnsi="Arial" w:cs="Arial"/>
          <w:b/>
          <w:sz w:val="40"/>
          <w:szCs w:val="40"/>
        </w:rPr>
      </w:pPr>
    </w:p>
    <w:p w:rsidR="004B288B" w:rsidRPr="004B779A" w:rsidRDefault="004B288B" w:rsidP="009B209E">
      <w:pPr>
        <w:rPr>
          <w:rFonts w:ascii="Arial" w:hAnsi="Arial" w:cs="Arial"/>
          <w:b/>
          <w:sz w:val="40"/>
          <w:szCs w:val="40"/>
        </w:rPr>
      </w:pPr>
    </w:p>
    <w:p w:rsidR="004B288B" w:rsidRPr="004B779A" w:rsidRDefault="004B288B" w:rsidP="009B209E">
      <w:pPr>
        <w:rPr>
          <w:rFonts w:ascii="Arial" w:hAnsi="Arial" w:cs="Arial"/>
          <w:b/>
          <w:sz w:val="40"/>
          <w:szCs w:val="40"/>
        </w:rPr>
      </w:pPr>
      <w:r w:rsidRPr="004B779A">
        <w:rPr>
          <w:rFonts w:ascii="Arial" w:hAnsi="Arial" w:cs="Arial"/>
          <w:b/>
          <w:sz w:val="40"/>
          <w:szCs w:val="40"/>
        </w:rPr>
        <w:t>Thurrock Safeguarding Adults Board</w:t>
      </w:r>
    </w:p>
    <w:p w:rsidR="009B209E" w:rsidRPr="004B779A" w:rsidRDefault="00CC55F5" w:rsidP="009B209E">
      <w:pPr>
        <w:rPr>
          <w:rFonts w:ascii="Arial" w:hAnsi="Arial" w:cs="Arial"/>
          <w:b/>
          <w:sz w:val="40"/>
          <w:szCs w:val="40"/>
        </w:rPr>
      </w:pPr>
      <w:r w:rsidRPr="004B779A">
        <w:rPr>
          <w:rFonts w:ascii="Arial" w:hAnsi="Arial" w:cs="Arial"/>
          <w:b/>
          <w:sz w:val="40"/>
          <w:szCs w:val="40"/>
        </w:rPr>
        <w:t>Annual Report 2017/18</w:t>
      </w:r>
    </w:p>
    <w:p w:rsidR="00B3189E" w:rsidRPr="004B779A" w:rsidRDefault="00B3189E" w:rsidP="009B209E">
      <w:pPr>
        <w:rPr>
          <w:rFonts w:ascii="Arial" w:hAnsi="Arial" w:cs="Arial"/>
        </w:rPr>
      </w:pPr>
    </w:p>
    <w:p w:rsidR="00B3189E" w:rsidRPr="004B779A" w:rsidRDefault="00B3189E">
      <w:pPr>
        <w:rPr>
          <w:rFonts w:ascii="Arial" w:hAnsi="Arial" w:cs="Arial"/>
        </w:rPr>
      </w:pPr>
      <w:r w:rsidRPr="004B779A">
        <w:rPr>
          <w:rFonts w:ascii="Arial" w:hAnsi="Arial" w:cs="Arial"/>
        </w:rPr>
        <w:br w:type="page"/>
      </w:r>
    </w:p>
    <w:p w:rsidR="00B3189E" w:rsidRPr="004B779A" w:rsidRDefault="004B779A" w:rsidP="009B209E">
      <w:pPr>
        <w:rPr>
          <w:rFonts w:ascii="Arial" w:hAnsi="Arial" w:cs="Arial"/>
          <w:b/>
        </w:rPr>
      </w:pPr>
      <w:r w:rsidRPr="004B779A">
        <w:rPr>
          <w:rFonts w:ascii="Arial" w:hAnsi="Arial" w:cs="Arial"/>
          <w:b/>
        </w:rPr>
        <w:lastRenderedPageBreak/>
        <w:t>CONTENTS</w:t>
      </w:r>
    </w:p>
    <w:tbl>
      <w:tblPr>
        <w:tblStyle w:val="TableGrid"/>
        <w:tblW w:w="0" w:type="auto"/>
        <w:tblLook w:val="04A0" w:firstRow="1" w:lastRow="0" w:firstColumn="1" w:lastColumn="0" w:noHBand="0" w:noVBand="1"/>
      </w:tblPr>
      <w:tblGrid>
        <w:gridCol w:w="550"/>
        <w:gridCol w:w="7894"/>
        <w:gridCol w:w="798"/>
      </w:tblGrid>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1</w:t>
            </w:r>
          </w:p>
        </w:tc>
        <w:tc>
          <w:tcPr>
            <w:tcW w:w="7894"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FOREWORD FROM THE CHAIR</w:t>
            </w:r>
          </w:p>
        </w:tc>
        <w:tc>
          <w:tcPr>
            <w:tcW w:w="798" w:type="dxa"/>
          </w:tcPr>
          <w:p w:rsidR="004B779A" w:rsidRPr="004B779A" w:rsidRDefault="004B779A" w:rsidP="004B779A">
            <w:pPr>
              <w:spacing w:line="360" w:lineRule="auto"/>
              <w:jc w:val="both"/>
              <w:rPr>
                <w:rFonts w:ascii="Arial" w:hAnsi="Arial" w:cs="Arial"/>
                <w:sz w:val="24"/>
                <w:szCs w:val="24"/>
              </w:rPr>
            </w:pPr>
          </w:p>
        </w:tc>
      </w:tr>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2</w:t>
            </w:r>
          </w:p>
        </w:tc>
        <w:tc>
          <w:tcPr>
            <w:tcW w:w="7894" w:type="dxa"/>
          </w:tcPr>
          <w:p w:rsidR="004B779A" w:rsidRPr="004B779A" w:rsidRDefault="00E020EA" w:rsidP="004B779A">
            <w:pPr>
              <w:spacing w:line="360" w:lineRule="auto"/>
              <w:jc w:val="both"/>
              <w:rPr>
                <w:rFonts w:ascii="Arial" w:hAnsi="Arial" w:cs="Arial"/>
                <w:sz w:val="24"/>
                <w:szCs w:val="24"/>
              </w:rPr>
            </w:pPr>
            <w:r>
              <w:rPr>
                <w:rFonts w:ascii="Arial" w:hAnsi="Arial" w:cs="Arial"/>
                <w:sz w:val="24"/>
                <w:szCs w:val="24"/>
              </w:rPr>
              <w:t>OVERVIEW</w:t>
            </w:r>
          </w:p>
        </w:tc>
        <w:tc>
          <w:tcPr>
            <w:tcW w:w="798" w:type="dxa"/>
          </w:tcPr>
          <w:p w:rsidR="004B779A" w:rsidRPr="004B779A" w:rsidRDefault="004B779A" w:rsidP="004B779A">
            <w:pPr>
              <w:spacing w:line="360" w:lineRule="auto"/>
              <w:jc w:val="both"/>
              <w:rPr>
                <w:rFonts w:ascii="Arial" w:hAnsi="Arial" w:cs="Arial"/>
                <w:sz w:val="24"/>
                <w:szCs w:val="24"/>
              </w:rPr>
            </w:pPr>
          </w:p>
        </w:tc>
      </w:tr>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3</w:t>
            </w:r>
          </w:p>
        </w:tc>
        <w:tc>
          <w:tcPr>
            <w:tcW w:w="7894" w:type="dxa"/>
          </w:tcPr>
          <w:p w:rsidR="004B779A" w:rsidRPr="004B779A" w:rsidRDefault="00E020EA" w:rsidP="004B779A">
            <w:pPr>
              <w:spacing w:line="360" w:lineRule="auto"/>
              <w:jc w:val="both"/>
              <w:rPr>
                <w:rFonts w:ascii="Arial" w:hAnsi="Arial" w:cs="Arial"/>
                <w:sz w:val="24"/>
                <w:szCs w:val="24"/>
              </w:rPr>
            </w:pPr>
            <w:r>
              <w:rPr>
                <w:rFonts w:ascii="Arial" w:hAnsi="Arial" w:cs="Arial"/>
                <w:sz w:val="24"/>
                <w:szCs w:val="24"/>
              </w:rPr>
              <w:t>SUMMARY OF LOCAL AUTHORITY ACTIONS</w:t>
            </w:r>
          </w:p>
        </w:tc>
        <w:tc>
          <w:tcPr>
            <w:tcW w:w="798" w:type="dxa"/>
          </w:tcPr>
          <w:p w:rsidR="004B779A" w:rsidRPr="004B779A" w:rsidRDefault="004B779A" w:rsidP="004B779A">
            <w:pPr>
              <w:spacing w:line="360" w:lineRule="auto"/>
              <w:jc w:val="both"/>
              <w:rPr>
                <w:rFonts w:ascii="Arial" w:hAnsi="Arial" w:cs="Arial"/>
                <w:sz w:val="24"/>
                <w:szCs w:val="24"/>
              </w:rPr>
            </w:pPr>
          </w:p>
        </w:tc>
      </w:tr>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4</w:t>
            </w:r>
          </w:p>
        </w:tc>
        <w:tc>
          <w:tcPr>
            <w:tcW w:w="7894" w:type="dxa"/>
          </w:tcPr>
          <w:p w:rsidR="004B779A" w:rsidRPr="004B779A" w:rsidRDefault="004B779A" w:rsidP="004B779A">
            <w:pPr>
              <w:jc w:val="both"/>
              <w:rPr>
                <w:rFonts w:ascii="Arial" w:hAnsi="Arial" w:cs="Arial"/>
                <w:sz w:val="24"/>
                <w:szCs w:val="24"/>
              </w:rPr>
            </w:pPr>
            <w:r w:rsidRPr="004B779A">
              <w:rPr>
                <w:rFonts w:ascii="Arial" w:hAnsi="Arial" w:cs="Arial"/>
                <w:sz w:val="24"/>
                <w:szCs w:val="24"/>
              </w:rPr>
              <w:t>THE SAFEGUARDING ADULTS BOARD</w:t>
            </w:r>
          </w:p>
        </w:tc>
        <w:tc>
          <w:tcPr>
            <w:tcW w:w="798" w:type="dxa"/>
          </w:tcPr>
          <w:p w:rsidR="004B779A" w:rsidRPr="004B779A" w:rsidRDefault="004B779A" w:rsidP="004B779A">
            <w:pPr>
              <w:spacing w:line="360" w:lineRule="auto"/>
              <w:jc w:val="both"/>
              <w:rPr>
                <w:rFonts w:ascii="Arial" w:hAnsi="Arial" w:cs="Arial"/>
                <w:sz w:val="24"/>
                <w:szCs w:val="24"/>
              </w:rPr>
            </w:pPr>
          </w:p>
        </w:tc>
      </w:tr>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5</w:t>
            </w:r>
          </w:p>
        </w:tc>
        <w:tc>
          <w:tcPr>
            <w:tcW w:w="7894" w:type="dxa"/>
          </w:tcPr>
          <w:p w:rsidR="004B779A" w:rsidRPr="004B779A" w:rsidRDefault="00E020EA" w:rsidP="004B779A">
            <w:pPr>
              <w:jc w:val="both"/>
              <w:rPr>
                <w:rFonts w:ascii="Arial" w:hAnsi="Arial" w:cs="Arial"/>
                <w:sz w:val="24"/>
                <w:szCs w:val="24"/>
              </w:rPr>
            </w:pPr>
            <w:r>
              <w:rPr>
                <w:rFonts w:ascii="Arial" w:hAnsi="Arial" w:cs="Arial"/>
                <w:sz w:val="24"/>
                <w:szCs w:val="24"/>
              </w:rPr>
              <w:t>MAKING SAFEGUARDING PERSONAL</w:t>
            </w:r>
          </w:p>
        </w:tc>
        <w:tc>
          <w:tcPr>
            <w:tcW w:w="798" w:type="dxa"/>
          </w:tcPr>
          <w:p w:rsidR="004B779A" w:rsidRPr="004B779A" w:rsidRDefault="004B779A" w:rsidP="004B779A">
            <w:pPr>
              <w:spacing w:line="360" w:lineRule="auto"/>
              <w:jc w:val="both"/>
              <w:rPr>
                <w:rFonts w:ascii="Arial" w:hAnsi="Arial" w:cs="Arial"/>
                <w:sz w:val="24"/>
                <w:szCs w:val="24"/>
              </w:rPr>
            </w:pPr>
          </w:p>
        </w:tc>
      </w:tr>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6</w:t>
            </w:r>
          </w:p>
        </w:tc>
        <w:tc>
          <w:tcPr>
            <w:tcW w:w="7894" w:type="dxa"/>
          </w:tcPr>
          <w:p w:rsidR="004B779A" w:rsidRPr="004B779A" w:rsidRDefault="00E020EA" w:rsidP="004B779A">
            <w:pPr>
              <w:spacing w:line="360" w:lineRule="auto"/>
              <w:jc w:val="both"/>
              <w:rPr>
                <w:rFonts w:ascii="Arial" w:hAnsi="Arial" w:cs="Arial"/>
                <w:sz w:val="24"/>
                <w:szCs w:val="24"/>
              </w:rPr>
            </w:pPr>
            <w:r>
              <w:rPr>
                <w:rFonts w:ascii="Arial" w:hAnsi="Arial" w:cs="Arial"/>
                <w:sz w:val="24"/>
                <w:szCs w:val="24"/>
              </w:rPr>
              <w:t>MENTAL CAPACITY</w:t>
            </w:r>
          </w:p>
        </w:tc>
        <w:tc>
          <w:tcPr>
            <w:tcW w:w="798" w:type="dxa"/>
          </w:tcPr>
          <w:p w:rsidR="004B779A" w:rsidRPr="004B779A" w:rsidRDefault="004B779A" w:rsidP="004B779A">
            <w:pPr>
              <w:spacing w:line="360" w:lineRule="auto"/>
              <w:jc w:val="both"/>
              <w:rPr>
                <w:rFonts w:ascii="Arial" w:hAnsi="Arial" w:cs="Arial"/>
                <w:sz w:val="24"/>
                <w:szCs w:val="24"/>
              </w:rPr>
            </w:pPr>
          </w:p>
        </w:tc>
      </w:tr>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7</w:t>
            </w:r>
          </w:p>
        </w:tc>
        <w:tc>
          <w:tcPr>
            <w:tcW w:w="7894" w:type="dxa"/>
          </w:tcPr>
          <w:p w:rsidR="004B779A" w:rsidRPr="004B779A" w:rsidRDefault="00E020EA" w:rsidP="004B779A">
            <w:pPr>
              <w:jc w:val="both"/>
              <w:rPr>
                <w:rFonts w:ascii="Arial" w:hAnsi="Arial" w:cs="Arial"/>
                <w:sz w:val="24"/>
                <w:szCs w:val="24"/>
              </w:rPr>
            </w:pPr>
            <w:r>
              <w:rPr>
                <w:rFonts w:ascii="Arial" w:hAnsi="Arial" w:cs="Arial"/>
                <w:sz w:val="24"/>
                <w:szCs w:val="24"/>
              </w:rPr>
              <w:t>DEPRIVATION OF LIBERTY SAFEGUARDS</w:t>
            </w:r>
          </w:p>
        </w:tc>
        <w:tc>
          <w:tcPr>
            <w:tcW w:w="798" w:type="dxa"/>
          </w:tcPr>
          <w:p w:rsidR="004B779A" w:rsidRPr="004B779A" w:rsidRDefault="004B779A" w:rsidP="004B779A">
            <w:pPr>
              <w:spacing w:line="360" w:lineRule="auto"/>
              <w:jc w:val="both"/>
              <w:rPr>
                <w:rFonts w:ascii="Arial" w:hAnsi="Arial" w:cs="Arial"/>
                <w:sz w:val="24"/>
                <w:szCs w:val="24"/>
              </w:rPr>
            </w:pPr>
          </w:p>
        </w:tc>
      </w:tr>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9</w:t>
            </w:r>
          </w:p>
        </w:tc>
        <w:tc>
          <w:tcPr>
            <w:tcW w:w="7894" w:type="dxa"/>
          </w:tcPr>
          <w:p w:rsidR="004B779A" w:rsidRPr="004B779A" w:rsidRDefault="00E020EA" w:rsidP="004B779A">
            <w:pPr>
              <w:spacing w:line="360" w:lineRule="auto"/>
              <w:jc w:val="both"/>
              <w:rPr>
                <w:rFonts w:ascii="Arial" w:hAnsi="Arial" w:cs="Arial"/>
                <w:sz w:val="24"/>
                <w:szCs w:val="24"/>
              </w:rPr>
            </w:pPr>
            <w:r>
              <w:rPr>
                <w:rFonts w:ascii="Arial" w:hAnsi="Arial" w:cs="Arial"/>
                <w:sz w:val="24"/>
                <w:szCs w:val="24"/>
              </w:rPr>
              <w:t>FINANCE</w:t>
            </w:r>
          </w:p>
        </w:tc>
        <w:tc>
          <w:tcPr>
            <w:tcW w:w="798" w:type="dxa"/>
          </w:tcPr>
          <w:p w:rsidR="004B779A" w:rsidRPr="004B779A" w:rsidRDefault="004B779A" w:rsidP="004B779A">
            <w:pPr>
              <w:spacing w:line="360" w:lineRule="auto"/>
              <w:jc w:val="both"/>
              <w:rPr>
                <w:rFonts w:ascii="Arial" w:hAnsi="Arial" w:cs="Arial"/>
                <w:sz w:val="24"/>
                <w:szCs w:val="24"/>
              </w:rPr>
            </w:pPr>
          </w:p>
        </w:tc>
      </w:tr>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10</w:t>
            </w:r>
          </w:p>
        </w:tc>
        <w:tc>
          <w:tcPr>
            <w:tcW w:w="7894" w:type="dxa"/>
          </w:tcPr>
          <w:p w:rsidR="004B779A" w:rsidRPr="004B779A" w:rsidRDefault="00E020EA" w:rsidP="004B779A">
            <w:pPr>
              <w:spacing w:line="360" w:lineRule="auto"/>
              <w:jc w:val="both"/>
              <w:rPr>
                <w:rFonts w:ascii="Arial" w:hAnsi="Arial" w:cs="Arial"/>
                <w:sz w:val="24"/>
                <w:szCs w:val="24"/>
              </w:rPr>
            </w:pPr>
            <w:r>
              <w:rPr>
                <w:rFonts w:ascii="Arial" w:hAnsi="Arial" w:cs="Arial"/>
                <w:sz w:val="24"/>
                <w:szCs w:val="24"/>
              </w:rPr>
              <w:t>WHAT WE ACHIEVED AS A BOARD DURING 2017/18</w:t>
            </w:r>
          </w:p>
        </w:tc>
        <w:tc>
          <w:tcPr>
            <w:tcW w:w="798" w:type="dxa"/>
          </w:tcPr>
          <w:p w:rsidR="004B779A" w:rsidRPr="004B779A" w:rsidRDefault="004B779A" w:rsidP="004B779A">
            <w:pPr>
              <w:spacing w:line="360" w:lineRule="auto"/>
              <w:jc w:val="both"/>
              <w:rPr>
                <w:rFonts w:ascii="Arial" w:hAnsi="Arial" w:cs="Arial"/>
                <w:sz w:val="24"/>
                <w:szCs w:val="24"/>
              </w:rPr>
            </w:pPr>
          </w:p>
        </w:tc>
      </w:tr>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13</w:t>
            </w:r>
          </w:p>
        </w:tc>
        <w:tc>
          <w:tcPr>
            <w:tcW w:w="7894" w:type="dxa"/>
          </w:tcPr>
          <w:p w:rsidR="004B779A" w:rsidRPr="004B779A" w:rsidRDefault="00E020EA" w:rsidP="004B779A">
            <w:pPr>
              <w:tabs>
                <w:tab w:val="left" w:pos="1380"/>
              </w:tabs>
              <w:spacing w:line="360" w:lineRule="auto"/>
              <w:jc w:val="both"/>
              <w:rPr>
                <w:rFonts w:ascii="Arial" w:hAnsi="Arial" w:cs="Arial"/>
                <w:sz w:val="24"/>
                <w:szCs w:val="24"/>
              </w:rPr>
            </w:pPr>
            <w:r>
              <w:rPr>
                <w:rFonts w:ascii="Arial" w:hAnsi="Arial" w:cs="Arial"/>
                <w:sz w:val="24"/>
                <w:szCs w:val="24"/>
              </w:rPr>
              <w:t>LOOKING FORWARD TO 2018/19</w:t>
            </w:r>
          </w:p>
        </w:tc>
        <w:tc>
          <w:tcPr>
            <w:tcW w:w="798" w:type="dxa"/>
          </w:tcPr>
          <w:p w:rsidR="004B779A" w:rsidRPr="004B779A" w:rsidRDefault="004B779A" w:rsidP="004B779A">
            <w:pPr>
              <w:spacing w:line="360" w:lineRule="auto"/>
              <w:jc w:val="both"/>
              <w:rPr>
                <w:rFonts w:ascii="Arial" w:hAnsi="Arial" w:cs="Arial"/>
                <w:sz w:val="24"/>
                <w:szCs w:val="24"/>
              </w:rPr>
            </w:pPr>
          </w:p>
        </w:tc>
      </w:tr>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14</w:t>
            </w:r>
          </w:p>
        </w:tc>
        <w:tc>
          <w:tcPr>
            <w:tcW w:w="7894"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Appendix 1: TSAB Attendance record</w:t>
            </w:r>
          </w:p>
        </w:tc>
        <w:tc>
          <w:tcPr>
            <w:tcW w:w="798" w:type="dxa"/>
          </w:tcPr>
          <w:p w:rsidR="004B779A" w:rsidRPr="004B779A" w:rsidRDefault="004B779A" w:rsidP="004B779A">
            <w:pPr>
              <w:spacing w:line="360" w:lineRule="auto"/>
              <w:jc w:val="both"/>
              <w:rPr>
                <w:rFonts w:ascii="Arial" w:hAnsi="Arial" w:cs="Arial"/>
                <w:sz w:val="24"/>
                <w:szCs w:val="24"/>
              </w:rPr>
            </w:pPr>
          </w:p>
        </w:tc>
      </w:tr>
      <w:tr w:rsidR="004B779A" w:rsidRPr="004B779A" w:rsidTr="004B779A">
        <w:tc>
          <w:tcPr>
            <w:tcW w:w="550" w:type="dxa"/>
          </w:tcPr>
          <w:p w:rsidR="004B779A" w:rsidRPr="004B779A" w:rsidRDefault="004B779A" w:rsidP="004B779A">
            <w:pPr>
              <w:spacing w:line="360" w:lineRule="auto"/>
              <w:jc w:val="both"/>
              <w:rPr>
                <w:rFonts w:ascii="Arial" w:hAnsi="Arial" w:cs="Arial"/>
                <w:sz w:val="24"/>
                <w:szCs w:val="24"/>
              </w:rPr>
            </w:pPr>
            <w:r w:rsidRPr="004B779A">
              <w:rPr>
                <w:rFonts w:ascii="Arial" w:hAnsi="Arial" w:cs="Arial"/>
                <w:sz w:val="24"/>
                <w:szCs w:val="24"/>
              </w:rPr>
              <w:t>15</w:t>
            </w:r>
          </w:p>
        </w:tc>
        <w:tc>
          <w:tcPr>
            <w:tcW w:w="7894" w:type="dxa"/>
          </w:tcPr>
          <w:p w:rsidR="004B779A" w:rsidRPr="004B779A" w:rsidRDefault="004B779A" w:rsidP="004B779A">
            <w:pPr>
              <w:spacing w:line="360" w:lineRule="auto"/>
              <w:jc w:val="both"/>
              <w:rPr>
                <w:rFonts w:ascii="Arial" w:hAnsi="Arial" w:cs="Arial"/>
                <w:sz w:val="24"/>
                <w:szCs w:val="24"/>
              </w:rPr>
            </w:pPr>
          </w:p>
        </w:tc>
        <w:tc>
          <w:tcPr>
            <w:tcW w:w="798" w:type="dxa"/>
          </w:tcPr>
          <w:p w:rsidR="004B779A" w:rsidRPr="004B779A" w:rsidRDefault="004B779A" w:rsidP="004B779A">
            <w:pPr>
              <w:spacing w:line="360" w:lineRule="auto"/>
              <w:jc w:val="both"/>
              <w:rPr>
                <w:rFonts w:ascii="Arial" w:hAnsi="Arial" w:cs="Arial"/>
                <w:sz w:val="24"/>
                <w:szCs w:val="24"/>
              </w:rPr>
            </w:pPr>
          </w:p>
        </w:tc>
      </w:tr>
    </w:tbl>
    <w:p w:rsidR="004B779A" w:rsidRPr="004B779A" w:rsidRDefault="00956A40">
      <w:pPr>
        <w:rPr>
          <w:rFonts w:ascii="Arial" w:hAnsi="Arial" w:cs="Arial"/>
          <w:b/>
        </w:rPr>
      </w:pPr>
      <w:r w:rsidRPr="004B779A">
        <w:rPr>
          <w:rFonts w:ascii="Arial" w:hAnsi="Arial" w:cs="Arial"/>
          <w:b/>
        </w:rPr>
        <w:br w:type="page"/>
      </w:r>
      <w:r w:rsidR="004B779A" w:rsidRPr="004B779A">
        <w:rPr>
          <w:rFonts w:ascii="Arial" w:hAnsi="Arial" w:cs="Arial"/>
          <w:b/>
        </w:rPr>
        <w:lastRenderedPageBreak/>
        <w:t>FOREWORD</w:t>
      </w:r>
    </w:p>
    <w:p w:rsidR="00CC52E7" w:rsidRPr="00847DDF" w:rsidRDefault="00CC52E7" w:rsidP="00CC52E7">
      <w:pPr>
        <w:rPr>
          <w:rFonts w:ascii="Arial" w:hAnsi="Arial" w:cs="Arial"/>
        </w:rPr>
      </w:pPr>
      <w:r w:rsidRPr="00847DDF">
        <w:rPr>
          <w:rFonts w:ascii="Arial" w:hAnsi="Arial" w:cs="Arial"/>
        </w:rPr>
        <w:t>This is the 10</w:t>
      </w:r>
      <w:r w:rsidRPr="00847DDF">
        <w:rPr>
          <w:rFonts w:ascii="Arial" w:hAnsi="Arial" w:cs="Arial"/>
          <w:vertAlign w:val="superscript"/>
        </w:rPr>
        <w:t>th</w:t>
      </w:r>
      <w:r w:rsidRPr="00847DDF">
        <w:rPr>
          <w:rFonts w:ascii="Arial" w:hAnsi="Arial" w:cs="Arial"/>
        </w:rPr>
        <w:t xml:space="preserve"> and last annual report for Thurrock’s Safeguarding Adult Board (SAB) to which I have contributed. There will be a new chair midway through 2018/19 and it is healthy and right to bring fresh eyes and ideas to the wor</w:t>
      </w:r>
      <w:r w:rsidR="003C4C0F">
        <w:rPr>
          <w:rFonts w:ascii="Arial" w:hAnsi="Arial" w:cs="Arial"/>
        </w:rPr>
        <w:t>k of the board. I wish the new C</w:t>
      </w:r>
      <w:r w:rsidRPr="00847DDF">
        <w:rPr>
          <w:rFonts w:ascii="Arial" w:hAnsi="Arial" w:cs="Arial"/>
        </w:rPr>
        <w:t>hair well.</w:t>
      </w:r>
    </w:p>
    <w:p w:rsidR="00CC52E7" w:rsidRPr="00847DDF" w:rsidRDefault="00CC52E7" w:rsidP="00CC52E7">
      <w:pPr>
        <w:rPr>
          <w:rFonts w:ascii="Arial" w:hAnsi="Arial" w:cs="Arial"/>
        </w:rPr>
      </w:pPr>
      <w:r w:rsidRPr="00847DDF">
        <w:rPr>
          <w:rFonts w:ascii="Arial" w:hAnsi="Arial" w:cs="Arial"/>
        </w:rPr>
        <w:t>We have a very good track record on adult safeguarding in Thurrock of which we should be proud. That doesn’t happen by accident and considerable credit should be given to providers, adult social care, commissioners of services and to those who monitor contracts, for the work that they have undertaken. Good communication, strong relationships and effective partnerships have all helped to maintain that record.</w:t>
      </w:r>
    </w:p>
    <w:p w:rsidR="00CC52E7" w:rsidRPr="00847DDF" w:rsidRDefault="00CC52E7" w:rsidP="00CC52E7">
      <w:pPr>
        <w:rPr>
          <w:rFonts w:ascii="Arial" w:hAnsi="Arial" w:cs="Arial"/>
        </w:rPr>
      </w:pPr>
      <w:r w:rsidRPr="00847DDF">
        <w:rPr>
          <w:rFonts w:ascii="Arial" w:hAnsi="Arial" w:cs="Arial"/>
        </w:rPr>
        <w:t xml:space="preserve">Detailed and comparative analysis of the 2017/18 data is complicated by the fact that the national data set for adult safeguarding is not made available until November each year. </w:t>
      </w:r>
    </w:p>
    <w:p w:rsidR="00CC52E7" w:rsidRPr="00847DDF" w:rsidRDefault="003C4C0F" w:rsidP="00CC52E7">
      <w:pPr>
        <w:rPr>
          <w:rFonts w:ascii="Arial" w:hAnsi="Arial" w:cs="Arial"/>
        </w:rPr>
      </w:pPr>
      <w:r>
        <w:rPr>
          <w:rFonts w:ascii="Arial" w:hAnsi="Arial" w:cs="Arial"/>
        </w:rPr>
        <w:t>This last year there were 712</w:t>
      </w:r>
      <w:r w:rsidR="00CC52E7" w:rsidRPr="00847DDF">
        <w:rPr>
          <w:rFonts w:ascii="Arial" w:hAnsi="Arial" w:cs="Arial"/>
        </w:rPr>
        <w:t xml:space="preserve"> safeguarding adult concerns reported to </w:t>
      </w:r>
      <w:r>
        <w:rPr>
          <w:rFonts w:ascii="Arial" w:hAnsi="Arial" w:cs="Arial"/>
        </w:rPr>
        <w:t>the local authority, of which 177 (25</w:t>
      </w:r>
      <w:r w:rsidR="00CC52E7" w:rsidRPr="00847DDF">
        <w:rPr>
          <w:rFonts w:ascii="Arial" w:hAnsi="Arial" w:cs="Arial"/>
        </w:rPr>
        <w:t xml:space="preserve">%) were considered to merit a safeguarding enquiry. That is roughly in line with the previous year but, as with other SABs in the region, we still experience over reporting by East of England Ambulance Service which distorts the figures and pushed the conversion rate down. Recent conversations may resolve that issue in the year ahead in the same way as conversations with Essex Police resolved their over reporting in 16/17. If we can reduce obvious inappropriate reporting of concerns I would expect to see a rise in our </w:t>
      </w:r>
      <w:r>
        <w:rPr>
          <w:rFonts w:ascii="Arial" w:hAnsi="Arial" w:cs="Arial"/>
        </w:rPr>
        <w:t>conversion rate to well above 25</w:t>
      </w:r>
      <w:r w:rsidR="00CC52E7" w:rsidRPr="00847DDF">
        <w:rPr>
          <w:rFonts w:ascii="Arial" w:hAnsi="Arial" w:cs="Arial"/>
        </w:rPr>
        <w:t xml:space="preserve">%. </w:t>
      </w:r>
    </w:p>
    <w:p w:rsidR="00CC52E7" w:rsidRPr="00847DDF" w:rsidRDefault="00CC52E7" w:rsidP="00CC52E7">
      <w:pPr>
        <w:rPr>
          <w:rFonts w:ascii="Arial" w:hAnsi="Arial" w:cs="Arial"/>
        </w:rPr>
      </w:pPr>
      <w:r w:rsidRPr="00847DDF">
        <w:rPr>
          <w:rFonts w:ascii="Arial" w:hAnsi="Arial" w:cs="Arial"/>
        </w:rPr>
        <w:t xml:space="preserve">The Safeguarding Board met </w:t>
      </w:r>
      <w:r w:rsidR="003C4C0F">
        <w:rPr>
          <w:rFonts w:ascii="Arial" w:hAnsi="Arial" w:cs="Arial"/>
        </w:rPr>
        <w:t>four</w:t>
      </w:r>
      <w:r w:rsidRPr="00847DDF">
        <w:rPr>
          <w:rFonts w:ascii="Arial" w:hAnsi="Arial" w:cs="Arial"/>
        </w:rPr>
        <w:t xml:space="preserve"> times during the year and sought assurances and information on such matters as domestic abuse involving elder people, adult safeguarding training, suicide prevention, the homecare market, self-neglect and the </w:t>
      </w:r>
      <w:proofErr w:type="spellStart"/>
      <w:r w:rsidRPr="00847DDF">
        <w:rPr>
          <w:rFonts w:ascii="Arial" w:hAnsi="Arial" w:cs="Arial"/>
        </w:rPr>
        <w:t>LeDeR</w:t>
      </w:r>
      <w:proofErr w:type="spellEnd"/>
      <w:r w:rsidRPr="00847DDF">
        <w:rPr>
          <w:rFonts w:ascii="Arial" w:hAnsi="Arial" w:cs="Arial"/>
        </w:rPr>
        <w:t xml:space="preserve"> programme which reviews deaths of people with learning disabilities. We continue to support the Lasting Power of Attorney project and have promoted the use of GPS moni</w:t>
      </w:r>
      <w:r w:rsidR="003C4C0F">
        <w:rPr>
          <w:rFonts w:ascii="Arial" w:hAnsi="Arial" w:cs="Arial"/>
        </w:rPr>
        <w:t>toring devices for people with A</w:t>
      </w:r>
      <w:r w:rsidR="003C4C0F" w:rsidRPr="00847DDF">
        <w:rPr>
          <w:rFonts w:ascii="Arial" w:hAnsi="Arial" w:cs="Arial"/>
        </w:rPr>
        <w:t>lzheimer</w:t>
      </w:r>
      <w:r w:rsidR="003C4C0F">
        <w:rPr>
          <w:rFonts w:ascii="Arial" w:hAnsi="Arial" w:cs="Arial"/>
        </w:rPr>
        <w:t>’</w:t>
      </w:r>
      <w:r w:rsidR="003C4C0F" w:rsidRPr="00847DDF">
        <w:rPr>
          <w:rFonts w:ascii="Arial" w:hAnsi="Arial" w:cs="Arial"/>
        </w:rPr>
        <w:t>s</w:t>
      </w:r>
      <w:r w:rsidRPr="00847DDF">
        <w:rPr>
          <w:rFonts w:ascii="Arial" w:hAnsi="Arial" w:cs="Arial"/>
        </w:rPr>
        <w:t>/dementia who have a tendency to get lost. T</w:t>
      </w:r>
      <w:r w:rsidR="003C4C0F">
        <w:rPr>
          <w:rFonts w:ascii="Arial" w:hAnsi="Arial" w:cs="Arial"/>
        </w:rPr>
        <w:t xml:space="preserve">hurrock </w:t>
      </w:r>
      <w:r w:rsidRPr="00847DDF">
        <w:rPr>
          <w:rFonts w:ascii="Arial" w:hAnsi="Arial" w:cs="Arial"/>
        </w:rPr>
        <w:t>L</w:t>
      </w:r>
      <w:r w:rsidR="003C4C0F">
        <w:rPr>
          <w:rFonts w:ascii="Arial" w:hAnsi="Arial" w:cs="Arial"/>
        </w:rPr>
        <w:t xml:space="preserve">ifestyle </w:t>
      </w:r>
      <w:r w:rsidRPr="00847DDF">
        <w:rPr>
          <w:rFonts w:ascii="Arial" w:hAnsi="Arial" w:cs="Arial"/>
        </w:rPr>
        <w:t>S</w:t>
      </w:r>
      <w:r w:rsidR="003C4C0F">
        <w:rPr>
          <w:rFonts w:ascii="Arial" w:hAnsi="Arial" w:cs="Arial"/>
        </w:rPr>
        <w:t>olutions</w:t>
      </w:r>
      <w:r w:rsidRPr="00847DDF">
        <w:rPr>
          <w:rFonts w:ascii="Arial" w:hAnsi="Arial" w:cs="Arial"/>
        </w:rPr>
        <w:t xml:space="preserve"> held a training session for adults around sexual awareness and boundaries and we continue to consider and learn from Serious Adult Reviews published elsewhere. I was particularly pleased that in the autumn board members joined social workers to conduct unannounced out of </w:t>
      </w:r>
      <w:proofErr w:type="gramStart"/>
      <w:r w:rsidRPr="00847DDF">
        <w:rPr>
          <w:rFonts w:ascii="Arial" w:hAnsi="Arial" w:cs="Arial"/>
        </w:rPr>
        <w:t>hours</w:t>
      </w:r>
      <w:proofErr w:type="gramEnd"/>
      <w:r w:rsidRPr="00847DDF">
        <w:rPr>
          <w:rFonts w:ascii="Arial" w:hAnsi="Arial" w:cs="Arial"/>
        </w:rPr>
        <w:t xml:space="preserve"> visits to all our care homes in the Borough, something which was welcomed by providers. Board members also took part in joint training with members of both the Essex and Southend SAB. </w:t>
      </w:r>
    </w:p>
    <w:p w:rsidR="00CC52E7" w:rsidRPr="00847DDF" w:rsidRDefault="00CC52E7" w:rsidP="00CC52E7">
      <w:pPr>
        <w:rPr>
          <w:rFonts w:ascii="Arial" w:hAnsi="Arial" w:cs="Arial"/>
        </w:rPr>
      </w:pPr>
      <w:r w:rsidRPr="00847DDF">
        <w:rPr>
          <w:rFonts w:ascii="Arial" w:hAnsi="Arial" w:cs="Arial"/>
        </w:rPr>
        <w:t xml:space="preserve">For those of you who have the difficult job of making and agreeing policy in Thurrock in these times of austerity, especially policy that impacts on the provision of health and social care, I ask again why there is not a safeguarding impact assessment provided with policy papers set before decision makers. If new policies or reductions in spending have no significant safeguarding implications for children or adults then a senior official should say so and provide the assurances that the Safeguarding Adult Board should rightly be seeking. If there are safeguarding implications then the risks should be identified, acknowledged, owned and mitigated wherever possible. </w:t>
      </w:r>
    </w:p>
    <w:p w:rsidR="00CC52E7" w:rsidRPr="00847DDF" w:rsidRDefault="00CC52E7" w:rsidP="00CC52E7">
      <w:pPr>
        <w:rPr>
          <w:rFonts w:ascii="Arial" w:hAnsi="Arial" w:cs="Arial"/>
        </w:rPr>
      </w:pPr>
      <w:r w:rsidRPr="00847DDF">
        <w:rPr>
          <w:rFonts w:ascii="Arial" w:hAnsi="Arial" w:cs="Arial"/>
        </w:rPr>
        <w:t>This last year saw the arrival of Liana Kotze as safeguarding manager at the council and the departures of Jim Nicholson (CSP) and Elaine Paige (SEPT) from the SAB. I wish Liana well in her new role and on behalf of the SAB I thank Jim</w:t>
      </w:r>
      <w:r w:rsidR="003C4C0F">
        <w:rPr>
          <w:rFonts w:ascii="Arial" w:hAnsi="Arial" w:cs="Arial"/>
        </w:rPr>
        <w:t xml:space="preserve"> Nicolson </w:t>
      </w:r>
      <w:r w:rsidRPr="00847DDF">
        <w:rPr>
          <w:rFonts w:ascii="Arial" w:hAnsi="Arial" w:cs="Arial"/>
        </w:rPr>
        <w:t>and Elaine</w:t>
      </w:r>
      <w:r w:rsidR="003C4C0F">
        <w:rPr>
          <w:rFonts w:ascii="Arial" w:hAnsi="Arial" w:cs="Arial"/>
        </w:rPr>
        <w:t xml:space="preserve"> Taylor</w:t>
      </w:r>
      <w:r w:rsidRPr="00847DDF">
        <w:rPr>
          <w:rFonts w:ascii="Arial" w:hAnsi="Arial" w:cs="Arial"/>
        </w:rPr>
        <w:t xml:space="preserve"> for almost 10 years’ service on our SAB. </w:t>
      </w:r>
    </w:p>
    <w:p w:rsidR="00CC52E7" w:rsidRPr="00847DDF" w:rsidRDefault="00CC52E7" w:rsidP="00CC52E7">
      <w:pPr>
        <w:rPr>
          <w:rFonts w:ascii="Arial" w:hAnsi="Arial" w:cs="Arial"/>
        </w:rPr>
      </w:pPr>
      <w:r w:rsidRPr="00847DDF">
        <w:rPr>
          <w:rFonts w:ascii="Arial" w:hAnsi="Arial" w:cs="Arial"/>
        </w:rPr>
        <w:lastRenderedPageBreak/>
        <w:t xml:space="preserve">I also need to thank the local authority, the CCG and the OPCC for their continued support and funding of the SAB. </w:t>
      </w:r>
    </w:p>
    <w:p w:rsidR="004B779A" w:rsidRPr="004B779A" w:rsidRDefault="004B779A">
      <w:pPr>
        <w:rPr>
          <w:rFonts w:ascii="Arial" w:hAnsi="Arial" w:cs="Arial"/>
          <w:b/>
        </w:rPr>
      </w:pPr>
      <w:r w:rsidRPr="004B779A">
        <w:rPr>
          <w:rFonts w:ascii="Arial" w:hAnsi="Arial" w:cs="Arial"/>
          <w:b/>
        </w:rPr>
        <w:t>Graham Carey</w:t>
      </w:r>
    </w:p>
    <w:p w:rsidR="004B779A" w:rsidRPr="004B779A" w:rsidRDefault="004B779A">
      <w:pPr>
        <w:rPr>
          <w:rFonts w:ascii="Arial" w:hAnsi="Arial" w:cs="Arial"/>
          <w:b/>
        </w:rPr>
      </w:pPr>
      <w:r w:rsidRPr="004B779A">
        <w:rPr>
          <w:rFonts w:ascii="Arial" w:hAnsi="Arial" w:cs="Arial"/>
          <w:b/>
        </w:rPr>
        <w:t>Independent Chair</w:t>
      </w:r>
    </w:p>
    <w:p w:rsidR="004B779A" w:rsidRPr="004B779A" w:rsidRDefault="004B779A">
      <w:pPr>
        <w:rPr>
          <w:rFonts w:ascii="Arial" w:hAnsi="Arial" w:cs="Arial"/>
          <w:b/>
        </w:rPr>
      </w:pPr>
      <w:r w:rsidRPr="004B779A">
        <w:rPr>
          <w:rFonts w:ascii="Arial" w:hAnsi="Arial" w:cs="Arial"/>
          <w:b/>
        </w:rPr>
        <w:br w:type="page"/>
      </w:r>
    </w:p>
    <w:p w:rsidR="00D374CD" w:rsidRPr="00D374CD" w:rsidRDefault="00D374CD" w:rsidP="00D374CD">
      <w:pPr>
        <w:jc w:val="both"/>
        <w:rPr>
          <w:rFonts w:ascii="Arial" w:hAnsi="Arial" w:cs="Arial"/>
          <w:b/>
          <w:sz w:val="28"/>
          <w:szCs w:val="28"/>
        </w:rPr>
      </w:pPr>
      <w:r w:rsidRPr="00D374CD">
        <w:rPr>
          <w:rFonts w:ascii="Arial" w:hAnsi="Arial" w:cs="Arial"/>
          <w:b/>
          <w:sz w:val="28"/>
          <w:szCs w:val="28"/>
        </w:rPr>
        <w:lastRenderedPageBreak/>
        <w:t>INTRODUCTION</w:t>
      </w:r>
    </w:p>
    <w:p w:rsidR="00D374CD" w:rsidRPr="00847DDF" w:rsidRDefault="00D374CD" w:rsidP="00D374CD">
      <w:pPr>
        <w:jc w:val="both"/>
        <w:rPr>
          <w:rFonts w:ascii="Arial" w:hAnsi="Arial" w:cs="Arial"/>
        </w:rPr>
      </w:pPr>
      <w:r w:rsidRPr="00847DDF">
        <w:rPr>
          <w:rFonts w:ascii="Arial" w:hAnsi="Arial" w:cs="Arial"/>
        </w:rPr>
        <w:t xml:space="preserve">The local authority has lead responsibility for safeguarding adults. The local authority has a responsibility to record all adult safeguarding concerns that come to its attention, as they all should. They are responsible for </w:t>
      </w:r>
      <w:r w:rsidR="00E530A2" w:rsidRPr="00847DDF">
        <w:rPr>
          <w:rFonts w:ascii="Arial" w:hAnsi="Arial" w:cs="Arial"/>
        </w:rPr>
        <w:t xml:space="preserve">considering all concerns </w:t>
      </w:r>
      <w:proofErr w:type="gramStart"/>
      <w:r w:rsidR="00E530A2" w:rsidRPr="00847DDF">
        <w:rPr>
          <w:rFonts w:ascii="Arial" w:hAnsi="Arial" w:cs="Arial"/>
        </w:rPr>
        <w:t>raised</w:t>
      </w:r>
      <w:proofErr w:type="gramEnd"/>
      <w:r w:rsidR="00E530A2" w:rsidRPr="00847DDF">
        <w:rPr>
          <w:rFonts w:ascii="Arial" w:hAnsi="Arial" w:cs="Arial"/>
        </w:rPr>
        <w:t xml:space="preserve"> regarding adults at risk, making a decision as to whether it meets the cr</w:t>
      </w:r>
      <w:r w:rsidR="007E599C" w:rsidRPr="00847DDF">
        <w:rPr>
          <w:rFonts w:ascii="Arial" w:hAnsi="Arial" w:cs="Arial"/>
        </w:rPr>
        <w:t xml:space="preserve">iteria for safeguarding concern. </w:t>
      </w:r>
      <w:r w:rsidRPr="00847DDF">
        <w:rPr>
          <w:rFonts w:ascii="Arial" w:hAnsi="Arial" w:cs="Arial"/>
        </w:rPr>
        <w:t>Some concerns are dealt swiftly by routine good professional social work and need no further acti</w:t>
      </w:r>
      <w:r w:rsidR="00E530A2" w:rsidRPr="00847DDF">
        <w:rPr>
          <w:rFonts w:ascii="Arial" w:hAnsi="Arial" w:cs="Arial"/>
        </w:rPr>
        <w:t>on, o</w:t>
      </w:r>
      <w:r w:rsidRPr="00847DDF">
        <w:rPr>
          <w:rFonts w:ascii="Arial" w:hAnsi="Arial" w:cs="Arial"/>
        </w:rPr>
        <w:t>thers are more complicated or more serious and may merit an enquiry in line with section 42</w:t>
      </w:r>
      <w:r w:rsidR="00E530A2" w:rsidRPr="00847DDF">
        <w:rPr>
          <w:rFonts w:ascii="Arial" w:hAnsi="Arial" w:cs="Arial"/>
        </w:rPr>
        <w:t xml:space="preserve"> (S42)</w:t>
      </w:r>
      <w:r w:rsidRPr="00847DDF">
        <w:rPr>
          <w:rFonts w:ascii="Arial" w:hAnsi="Arial" w:cs="Arial"/>
        </w:rPr>
        <w:t xml:space="preserve"> of the Care Act 2014.  </w:t>
      </w:r>
    </w:p>
    <w:p w:rsidR="009B209E" w:rsidRDefault="004B779A" w:rsidP="004B779A">
      <w:pPr>
        <w:jc w:val="both"/>
        <w:rPr>
          <w:rFonts w:ascii="Arial" w:hAnsi="Arial" w:cs="Arial"/>
          <w:b/>
          <w:sz w:val="28"/>
          <w:szCs w:val="28"/>
        </w:rPr>
      </w:pPr>
      <w:r w:rsidRPr="00E530A2">
        <w:rPr>
          <w:rFonts w:ascii="Arial" w:hAnsi="Arial" w:cs="Arial"/>
          <w:b/>
          <w:sz w:val="28"/>
          <w:szCs w:val="28"/>
        </w:rPr>
        <w:t>OVERVIEW</w:t>
      </w:r>
      <w:r w:rsidR="009B209E" w:rsidRPr="00E530A2">
        <w:rPr>
          <w:rFonts w:ascii="Arial" w:hAnsi="Arial" w:cs="Arial"/>
          <w:b/>
          <w:sz w:val="28"/>
          <w:szCs w:val="28"/>
        </w:rPr>
        <w:t xml:space="preserve"> </w:t>
      </w:r>
    </w:p>
    <w:p w:rsidR="007E599C" w:rsidRPr="007E599C" w:rsidRDefault="007E599C" w:rsidP="007E599C">
      <w:pPr>
        <w:jc w:val="both"/>
        <w:rPr>
          <w:rFonts w:ascii="Arial" w:hAnsi="Arial" w:cs="Arial"/>
        </w:rPr>
      </w:pPr>
      <w:r w:rsidRPr="007E599C">
        <w:rPr>
          <w:rFonts w:ascii="Arial" w:hAnsi="Arial" w:cs="Arial"/>
        </w:rPr>
        <w:t xml:space="preserve">An </w:t>
      </w:r>
      <w:r w:rsidRPr="007E599C">
        <w:rPr>
          <w:rFonts w:ascii="Arial" w:hAnsi="Arial" w:cs="Arial"/>
          <w:b/>
        </w:rPr>
        <w:t>adult at risk</w:t>
      </w:r>
      <w:r w:rsidRPr="007E599C">
        <w:rPr>
          <w:rFonts w:ascii="Arial" w:hAnsi="Arial" w:cs="Arial"/>
        </w:rPr>
        <w:t>:</w:t>
      </w:r>
    </w:p>
    <w:p w:rsidR="007E599C" w:rsidRPr="007E599C" w:rsidRDefault="007E599C" w:rsidP="007E599C">
      <w:pPr>
        <w:jc w:val="both"/>
        <w:rPr>
          <w:rFonts w:ascii="Arial" w:hAnsi="Arial" w:cs="Arial"/>
        </w:rPr>
      </w:pPr>
      <w:r w:rsidRPr="007E599C">
        <w:rPr>
          <w:rFonts w:ascii="Arial" w:hAnsi="Arial" w:cs="Arial"/>
        </w:rPr>
        <w:t xml:space="preserve">(a) </w:t>
      </w:r>
      <w:proofErr w:type="gramStart"/>
      <w:r w:rsidRPr="007E599C">
        <w:rPr>
          <w:rFonts w:ascii="Arial" w:hAnsi="Arial" w:cs="Arial"/>
        </w:rPr>
        <w:t>has</w:t>
      </w:r>
      <w:proofErr w:type="gramEnd"/>
      <w:r w:rsidRPr="007E599C">
        <w:rPr>
          <w:rFonts w:ascii="Arial" w:hAnsi="Arial" w:cs="Arial"/>
        </w:rPr>
        <w:t xml:space="preserve"> needs for care and support (</w:t>
      </w:r>
      <w:r w:rsidRPr="007E599C">
        <w:rPr>
          <w:rFonts w:ascii="Arial" w:hAnsi="Arial" w:cs="Arial"/>
          <w:u w:val="single"/>
        </w:rPr>
        <w:t>whether or not</w:t>
      </w:r>
      <w:r w:rsidRPr="007E599C">
        <w:rPr>
          <w:rFonts w:ascii="Arial" w:hAnsi="Arial" w:cs="Arial"/>
        </w:rPr>
        <w:t xml:space="preserve"> the authority is meeting any of those needs) </w:t>
      </w:r>
      <w:r w:rsidRPr="007E599C">
        <w:rPr>
          <w:rFonts w:ascii="Arial" w:hAnsi="Arial" w:cs="Arial"/>
          <w:b/>
        </w:rPr>
        <w:t>and</w:t>
      </w:r>
      <w:r w:rsidRPr="007E599C">
        <w:rPr>
          <w:rFonts w:ascii="Arial" w:hAnsi="Arial" w:cs="Arial"/>
        </w:rPr>
        <w:t xml:space="preserve"> </w:t>
      </w:r>
    </w:p>
    <w:p w:rsidR="007E599C" w:rsidRPr="007E599C" w:rsidRDefault="007E599C" w:rsidP="007E599C">
      <w:pPr>
        <w:jc w:val="both"/>
        <w:rPr>
          <w:rFonts w:ascii="Arial" w:hAnsi="Arial" w:cs="Arial"/>
        </w:rPr>
      </w:pPr>
      <w:r w:rsidRPr="007E599C">
        <w:rPr>
          <w:rFonts w:ascii="Arial" w:hAnsi="Arial" w:cs="Arial"/>
        </w:rPr>
        <w:t xml:space="preserve">(b) </w:t>
      </w:r>
      <w:proofErr w:type="gramStart"/>
      <w:r w:rsidRPr="007E599C">
        <w:rPr>
          <w:rFonts w:ascii="Arial" w:hAnsi="Arial" w:cs="Arial"/>
        </w:rPr>
        <w:t>is</w:t>
      </w:r>
      <w:proofErr w:type="gramEnd"/>
      <w:r w:rsidRPr="007E599C">
        <w:rPr>
          <w:rFonts w:ascii="Arial" w:hAnsi="Arial" w:cs="Arial"/>
        </w:rPr>
        <w:t xml:space="preserve"> experiencing, or is at risk of, abuse or neglect </w:t>
      </w:r>
      <w:r w:rsidRPr="007E599C">
        <w:rPr>
          <w:rFonts w:ascii="Arial" w:hAnsi="Arial" w:cs="Arial"/>
          <w:b/>
        </w:rPr>
        <w:t>and</w:t>
      </w:r>
    </w:p>
    <w:p w:rsidR="007E599C" w:rsidRPr="007E599C" w:rsidRDefault="007E599C" w:rsidP="007E599C">
      <w:pPr>
        <w:jc w:val="both"/>
        <w:rPr>
          <w:rFonts w:ascii="Arial" w:hAnsi="Arial" w:cs="Arial"/>
        </w:rPr>
      </w:pPr>
      <w:r w:rsidRPr="007E599C">
        <w:rPr>
          <w:rFonts w:ascii="Arial" w:hAnsi="Arial" w:cs="Arial"/>
        </w:rPr>
        <w:t xml:space="preserve">(c) </w:t>
      </w:r>
      <w:proofErr w:type="gramStart"/>
      <w:r w:rsidRPr="007E599C">
        <w:rPr>
          <w:rFonts w:ascii="Arial" w:hAnsi="Arial" w:cs="Arial"/>
        </w:rPr>
        <w:t>as</w:t>
      </w:r>
      <w:proofErr w:type="gramEnd"/>
      <w:r w:rsidRPr="007E599C">
        <w:rPr>
          <w:rFonts w:ascii="Arial" w:hAnsi="Arial" w:cs="Arial"/>
        </w:rPr>
        <w:t xml:space="preserve"> a result of those needs is unable to protect himself or herself against the abuse or neglect or the risk of it</w:t>
      </w:r>
    </w:p>
    <w:p w:rsidR="009B209E" w:rsidRPr="004B779A" w:rsidRDefault="009B209E" w:rsidP="009B209E">
      <w:pPr>
        <w:jc w:val="both"/>
        <w:rPr>
          <w:rFonts w:ascii="Arial" w:hAnsi="Arial" w:cs="Arial"/>
        </w:rPr>
      </w:pPr>
      <w:r w:rsidRPr="004B779A">
        <w:rPr>
          <w:rFonts w:ascii="Arial" w:hAnsi="Arial" w:cs="Arial"/>
        </w:rPr>
        <w:t xml:space="preserve">A </w:t>
      </w:r>
      <w:r w:rsidRPr="004B779A">
        <w:rPr>
          <w:rFonts w:ascii="Arial" w:hAnsi="Arial" w:cs="Arial"/>
          <w:b/>
        </w:rPr>
        <w:t>Safeguarding concern</w:t>
      </w:r>
      <w:r w:rsidRPr="004B779A">
        <w:rPr>
          <w:rFonts w:ascii="Arial" w:hAnsi="Arial" w:cs="Arial"/>
        </w:rPr>
        <w:t xml:space="preserve"> is usually raised to the local authority, when someone is concerned that an adult may be experiencing abuse or neglect. Safeguarding concerns include domestic abuse, sexual exploitation, </w:t>
      </w:r>
      <w:proofErr w:type="gramStart"/>
      <w:r w:rsidRPr="004B779A">
        <w:rPr>
          <w:rFonts w:ascii="Arial" w:hAnsi="Arial" w:cs="Arial"/>
        </w:rPr>
        <w:t>modern</w:t>
      </w:r>
      <w:proofErr w:type="gramEnd"/>
      <w:r w:rsidRPr="004B779A">
        <w:rPr>
          <w:rFonts w:ascii="Arial" w:hAnsi="Arial" w:cs="Arial"/>
        </w:rPr>
        <w:t xml:space="preserve"> day slavery and self-neglect. All safeguarding concerns are recorded on form SET SAF 1. </w:t>
      </w:r>
    </w:p>
    <w:p w:rsidR="009B209E" w:rsidRPr="004B779A" w:rsidRDefault="009B209E" w:rsidP="009B209E">
      <w:pPr>
        <w:jc w:val="both"/>
        <w:rPr>
          <w:rFonts w:ascii="Arial" w:hAnsi="Arial" w:cs="Arial"/>
        </w:rPr>
      </w:pPr>
      <w:r w:rsidRPr="004B779A">
        <w:rPr>
          <w:rFonts w:ascii="Arial" w:hAnsi="Arial" w:cs="Arial"/>
        </w:rPr>
        <w:t xml:space="preserve">From the table below you can see that 628 concerns were raised to the local authority during the past year. This is a slight increase from the year before. </w:t>
      </w:r>
    </w:p>
    <w:p w:rsidR="009B209E" w:rsidRPr="004B779A" w:rsidRDefault="009B209E" w:rsidP="009B209E">
      <w:pPr>
        <w:jc w:val="both"/>
        <w:rPr>
          <w:rFonts w:ascii="Arial" w:hAnsi="Arial" w:cs="Arial"/>
        </w:rPr>
      </w:pPr>
      <w:r w:rsidRPr="004B779A">
        <w:rPr>
          <w:rFonts w:ascii="Arial" w:hAnsi="Arial" w:cs="Arial"/>
        </w:rPr>
        <w:t xml:space="preserve">A </w:t>
      </w:r>
      <w:r w:rsidRPr="004B779A">
        <w:rPr>
          <w:rFonts w:ascii="Arial" w:hAnsi="Arial" w:cs="Arial"/>
          <w:b/>
        </w:rPr>
        <w:t>Safeguarding enquiry</w:t>
      </w:r>
      <w:r w:rsidRPr="004B779A">
        <w:rPr>
          <w:rFonts w:ascii="Arial" w:hAnsi="Arial" w:cs="Arial"/>
        </w:rPr>
        <w:t xml:space="preserve"> is the action taken by the local authority in response to a safeguarding concern. The local authority always retains responsibility for activity or enquiries undertaken under Section 42 of the Care Act irrespective of whether or not it carries out the enquiry or activity itself or asks another organisation to undertake the enquiry or activity on its behalf. A Safeguarding Enquiry in accordance with the Care Act is quite different than a Safeguarding Investigation as previously managed under the Community Care Act. A Safeguarding Investigation would seek to conclude on whether abuse was substantiated or not whereas the new focus of a Safeguarding Enquiry is about supporting the adult at risk to be safer. All authorities need to provide feedback on how they are Making Safeguarding Personal, by ensuring service users are given choice over their safety measures and desired outcomes of these processes. This allows people to have control over how safeguarding enquiries run, or whether they are terminated at the individual’s request. </w:t>
      </w:r>
    </w:p>
    <w:p w:rsidR="009B209E" w:rsidRPr="004B779A" w:rsidRDefault="009B209E" w:rsidP="009B209E">
      <w:pPr>
        <w:jc w:val="both"/>
        <w:rPr>
          <w:rFonts w:ascii="Arial" w:hAnsi="Arial" w:cs="Arial"/>
        </w:rPr>
      </w:pPr>
      <w:r w:rsidRPr="004B779A">
        <w:rPr>
          <w:rFonts w:ascii="Arial" w:hAnsi="Arial" w:cs="Arial"/>
        </w:rPr>
        <w:t>Every English Local Authority is obliged to maintain a data set for safeguarding adults in accordance with national guidance. All authorities submit their data at the year end and this is then published in the autumn.</w:t>
      </w:r>
    </w:p>
    <w:p w:rsidR="008E0D7B" w:rsidRDefault="008E0D7B">
      <w:pPr>
        <w:rPr>
          <w:rFonts w:ascii="Arial" w:hAnsi="Arial" w:cs="Arial"/>
          <w:b/>
          <w:sz w:val="28"/>
          <w:szCs w:val="28"/>
        </w:rPr>
      </w:pPr>
      <w:r>
        <w:rPr>
          <w:rFonts w:ascii="Arial" w:hAnsi="Arial" w:cs="Arial"/>
          <w:b/>
          <w:sz w:val="28"/>
          <w:szCs w:val="28"/>
        </w:rPr>
        <w:br w:type="page"/>
      </w:r>
    </w:p>
    <w:p w:rsidR="009B209E" w:rsidRPr="00E530A2" w:rsidRDefault="004B779A" w:rsidP="004B779A">
      <w:pPr>
        <w:spacing w:after="0"/>
        <w:jc w:val="both"/>
        <w:rPr>
          <w:rFonts w:ascii="Arial" w:hAnsi="Arial" w:cs="Arial"/>
          <w:b/>
          <w:sz w:val="28"/>
          <w:szCs w:val="28"/>
        </w:rPr>
      </w:pPr>
      <w:r w:rsidRPr="00E530A2">
        <w:rPr>
          <w:rFonts w:ascii="Arial" w:hAnsi="Arial" w:cs="Arial"/>
          <w:b/>
          <w:sz w:val="28"/>
          <w:szCs w:val="28"/>
        </w:rPr>
        <w:lastRenderedPageBreak/>
        <w:t>SUMMARY OF LOCAL AUTHORITY ACTIONS</w:t>
      </w:r>
    </w:p>
    <w:p w:rsidR="009B209E" w:rsidRPr="004B779A" w:rsidRDefault="009B209E" w:rsidP="009B209E">
      <w:pPr>
        <w:spacing w:after="0"/>
        <w:jc w:val="both"/>
        <w:rPr>
          <w:rFonts w:ascii="Arial" w:hAnsi="Arial" w:cs="Arial"/>
        </w:rPr>
      </w:pPr>
    </w:p>
    <w:p w:rsidR="009B209E" w:rsidRPr="004B779A" w:rsidRDefault="000443C9" w:rsidP="009B209E">
      <w:pPr>
        <w:spacing w:after="0"/>
        <w:jc w:val="both"/>
        <w:rPr>
          <w:rFonts w:ascii="Arial" w:hAnsi="Arial" w:cs="Arial"/>
        </w:rPr>
      </w:pPr>
      <w:r>
        <w:rPr>
          <w:rFonts w:ascii="Arial" w:hAnsi="Arial" w:cs="Arial"/>
        </w:rPr>
        <w:t>The local authority recorded 712</w:t>
      </w:r>
      <w:r w:rsidR="009B209E" w:rsidRPr="004B779A">
        <w:rPr>
          <w:rFonts w:ascii="Arial" w:hAnsi="Arial" w:cs="Arial"/>
        </w:rPr>
        <w:t xml:space="preserve"> adult safeguarding concerns during 2017 – 2018. </w:t>
      </w:r>
      <w:r>
        <w:rPr>
          <w:rFonts w:ascii="Arial" w:hAnsi="Arial" w:cs="Arial"/>
        </w:rPr>
        <w:t>Of these 177 (25</w:t>
      </w:r>
      <w:r w:rsidR="009B209E" w:rsidRPr="004B779A">
        <w:rPr>
          <w:rFonts w:ascii="Arial" w:hAnsi="Arial" w:cs="Arial"/>
        </w:rPr>
        <w:t xml:space="preserve">%) were deemed to require further action and a Safeguarding Enquiry was launched to consider what outcomes would help to make the adult at risk of abuse, safer. The conversion rate seen by Thurrock Council is comparable with most other authorities across England. </w:t>
      </w:r>
    </w:p>
    <w:p w:rsidR="009B209E" w:rsidRPr="004B779A" w:rsidRDefault="009B209E" w:rsidP="009B209E">
      <w:pPr>
        <w:spacing w:after="0"/>
        <w:jc w:val="both"/>
        <w:rPr>
          <w:rFonts w:ascii="Arial" w:hAnsi="Arial" w:cs="Arial"/>
        </w:rPr>
      </w:pPr>
    </w:p>
    <w:p w:rsidR="009B209E" w:rsidRPr="004B779A" w:rsidRDefault="009B209E" w:rsidP="009B209E">
      <w:pPr>
        <w:spacing w:before="4" w:after="0" w:line="220" w:lineRule="exact"/>
        <w:jc w:val="both"/>
        <w:rPr>
          <w:rFonts w:ascii="Arial" w:hAnsi="Arial" w:cs="Arial"/>
        </w:rPr>
      </w:pPr>
    </w:p>
    <w:tbl>
      <w:tblPr>
        <w:tblStyle w:val="LightList-Accent3"/>
        <w:tblW w:w="5000" w:type="pct"/>
        <w:tblLook w:val="04A0" w:firstRow="1" w:lastRow="0" w:firstColumn="1" w:lastColumn="0" w:noHBand="0" w:noVBand="1"/>
      </w:tblPr>
      <w:tblGrid>
        <w:gridCol w:w="2585"/>
        <w:gridCol w:w="1403"/>
        <w:gridCol w:w="1403"/>
        <w:gridCol w:w="1403"/>
        <w:gridCol w:w="1403"/>
        <w:gridCol w:w="1399"/>
      </w:tblGrid>
      <w:tr w:rsidR="00211B2E" w:rsidRPr="00A676E3" w:rsidTr="00E7232A">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FFFFFF"/>
                <w:lang w:eastAsia="en-GB"/>
              </w:rPr>
            </w:pPr>
            <w:r w:rsidRPr="00A676E3">
              <w:rPr>
                <w:rFonts w:ascii="Calibri" w:eastAsia="Times New Roman" w:hAnsi="Calibri" w:cs="Times New Roman"/>
                <w:color w:val="FFFFFF"/>
                <w:lang w:eastAsia="en-GB"/>
              </w:rPr>
              <w:t>Which agency raised the concern?</w:t>
            </w:r>
          </w:p>
        </w:tc>
        <w:tc>
          <w:tcPr>
            <w:tcW w:w="731" w:type="pct"/>
            <w:hideMark/>
          </w:tcPr>
          <w:p w:rsidR="00211B2E" w:rsidRPr="00A676E3" w:rsidRDefault="00211B2E" w:rsidP="00E7232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n-GB"/>
              </w:rPr>
            </w:pPr>
            <w:r w:rsidRPr="00A676E3">
              <w:rPr>
                <w:rFonts w:ascii="Calibri" w:eastAsia="Times New Roman" w:hAnsi="Calibri" w:cs="Times New Roman"/>
                <w:color w:val="FFFFFF"/>
                <w:lang w:eastAsia="en-GB"/>
              </w:rPr>
              <w:t>Number of concerns reported 2016/17</w:t>
            </w:r>
          </w:p>
        </w:tc>
        <w:tc>
          <w:tcPr>
            <w:tcW w:w="731" w:type="pct"/>
            <w:hideMark/>
          </w:tcPr>
          <w:p w:rsidR="00211B2E" w:rsidRPr="00A676E3" w:rsidRDefault="00211B2E" w:rsidP="00E7232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n-GB"/>
              </w:rPr>
            </w:pPr>
            <w:r w:rsidRPr="00A676E3">
              <w:rPr>
                <w:rFonts w:ascii="Calibri" w:eastAsia="Times New Roman" w:hAnsi="Calibri" w:cs="Times New Roman"/>
                <w:color w:val="FFFFFF"/>
                <w:lang w:eastAsia="en-GB"/>
              </w:rPr>
              <w:t>As % of total concerns</w:t>
            </w:r>
          </w:p>
        </w:tc>
        <w:tc>
          <w:tcPr>
            <w:tcW w:w="731" w:type="pct"/>
            <w:hideMark/>
          </w:tcPr>
          <w:p w:rsidR="00211B2E" w:rsidRPr="00A676E3" w:rsidRDefault="00211B2E" w:rsidP="00E7232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n-GB"/>
              </w:rPr>
            </w:pPr>
            <w:r w:rsidRPr="00A676E3">
              <w:rPr>
                <w:rFonts w:ascii="Calibri" w:eastAsia="Times New Roman" w:hAnsi="Calibri" w:cs="Times New Roman"/>
                <w:color w:val="FFFFFF"/>
                <w:lang w:eastAsia="en-GB"/>
              </w:rPr>
              <w:t>Number of Enquiries accepted</w:t>
            </w:r>
          </w:p>
        </w:tc>
        <w:tc>
          <w:tcPr>
            <w:tcW w:w="731" w:type="pct"/>
            <w:hideMark/>
          </w:tcPr>
          <w:p w:rsidR="00211B2E" w:rsidRPr="00A676E3" w:rsidRDefault="00211B2E" w:rsidP="00E7232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n-GB"/>
              </w:rPr>
            </w:pPr>
            <w:r w:rsidRPr="00A676E3">
              <w:rPr>
                <w:rFonts w:ascii="Calibri" w:eastAsia="Times New Roman" w:hAnsi="Calibri" w:cs="Times New Roman"/>
                <w:color w:val="FFFFFF"/>
                <w:lang w:eastAsia="en-GB"/>
              </w:rPr>
              <w:t xml:space="preserve">As % of total Enquiries </w:t>
            </w:r>
          </w:p>
        </w:tc>
        <w:tc>
          <w:tcPr>
            <w:tcW w:w="731" w:type="pct"/>
            <w:hideMark/>
          </w:tcPr>
          <w:p w:rsidR="00211B2E" w:rsidRPr="00A676E3" w:rsidRDefault="00211B2E" w:rsidP="00E7232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n-GB"/>
              </w:rPr>
            </w:pPr>
            <w:r w:rsidRPr="00A676E3">
              <w:rPr>
                <w:rFonts w:ascii="Calibri" w:eastAsia="Times New Roman" w:hAnsi="Calibri" w:cs="Times New Roman"/>
                <w:color w:val="FFFFFF"/>
                <w:lang w:eastAsia="en-GB"/>
              </w:rPr>
              <w:t>Conversion Rate</w:t>
            </w:r>
          </w:p>
        </w:tc>
      </w:tr>
      <w:tr w:rsidR="00211B2E" w:rsidRPr="00A676E3" w:rsidTr="00E72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CARIADS</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0.1%</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100%</w:t>
            </w:r>
          </w:p>
        </w:tc>
      </w:tr>
      <w:tr w:rsidR="00211B2E" w:rsidRPr="00A676E3" w:rsidTr="00E7232A">
        <w:trPr>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Central Government Agency</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6</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0.8%</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33%</w:t>
            </w:r>
          </w:p>
        </w:tc>
      </w:tr>
      <w:tr w:rsidR="00211B2E" w:rsidRPr="00A676E3" w:rsidTr="00E72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Family, Friend, Neighbour</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46</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6.4%</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19</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11%</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41%</w:t>
            </w:r>
          </w:p>
        </w:tc>
      </w:tr>
      <w:tr w:rsidR="00211B2E" w:rsidRPr="00A676E3" w:rsidTr="00E7232A">
        <w:trPr>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Independent Provider Agency</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103</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14.3%</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36</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20%</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35%</w:t>
            </w:r>
          </w:p>
        </w:tc>
      </w:tr>
      <w:tr w:rsidR="00211B2E" w:rsidRPr="00A676E3" w:rsidTr="00E72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Internal SSD</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53</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7.4%</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21</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12%</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40%</w:t>
            </w:r>
          </w:p>
        </w:tc>
      </w:tr>
      <w:tr w:rsidR="00211B2E" w:rsidRPr="00A676E3" w:rsidTr="00E7232A">
        <w:trPr>
          <w:trHeight w:val="6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LA Housing or Housing Association</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7</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1.0%</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29%</w:t>
            </w:r>
          </w:p>
        </w:tc>
      </w:tr>
      <w:tr w:rsidR="00211B2E" w:rsidRPr="00A676E3" w:rsidTr="00E7232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Legal agency - police, court, probation</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68</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9.4%</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13</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7%</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19%</w:t>
            </w:r>
          </w:p>
        </w:tc>
      </w:tr>
      <w:tr w:rsidR="00211B2E" w:rsidRPr="00A676E3" w:rsidTr="00E7232A">
        <w:trPr>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Not Known</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0.3%</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100%</w:t>
            </w:r>
          </w:p>
        </w:tc>
      </w:tr>
      <w:tr w:rsidR="00211B2E" w:rsidRPr="00A676E3" w:rsidTr="00E7232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Other Agency i.e. Voluntary agency</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19</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2.6%</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3</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16%</w:t>
            </w:r>
          </w:p>
        </w:tc>
      </w:tr>
      <w:tr w:rsidR="00211B2E" w:rsidRPr="00A676E3" w:rsidTr="00E7232A">
        <w:trPr>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Other Individual</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93</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12.9%</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17</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10%</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18%</w:t>
            </w:r>
          </w:p>
        </w:tc>
      </w:tr>
      <w:tr w:rsidR="00211B2E" w:rsidRPr="00A676E3" w:rsidTr="00E7232A">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Other LA or Other TBC Department</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59</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8.2%</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19</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11%</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32%</w:t>
            </w:r>
          </w:p>
        </w:tc>
      </w:tr>
      <w:tr w:rsidR="00211B2E" w:rsidRPr="00A676E3" w:rsidTr="00E7232A">
        <w:trPr>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Primary Health i.e. GP etc.</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32</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4.4%</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4</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13%</w:t>
            </w:r>
          </w:p>
        </w:tc>
      </w:tr>
      <w:tr w:rsidR="00211B2E" w:rsidRPr="00A676E3" w:rsidTr="00E72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School, Education</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3</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0.4%</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0%</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0%</w:t>
            </w:r>
          </w:p>
        </w:tc>
      </w:tr>
      <w:tr w:rsidR="00211B2E" w:rsidRPr="00A676E3" w:rsidTr="00E7232A">
        <w:trPr>
          <w:trHeight w:val="6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Secondary Health i.e. Hospital etc.</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213</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29.5%</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32</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18%</w:t>
            </w:r>
          </w:p>
        </w:tc>
        <w:tc>
          <w:tcPr>
            <w:tcW w:w="731" w:type="pct"/>
            <w:hideMark/>
          </w:tcPr>
          <w:p w:rsidR="00211B2E" w:rsidRPr="00A676E3" w:rsidRDefault="00211B2E" w:rsidP="00E7232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15%</w:t>
            </w:r>
          </w:p>
        </w:tc>
      </w:tr>
      <w:tr w:rsidR="00211B2E" w:rsidRPr="00A676E3" w:rsidTr="00E723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7" w:type="pct"/>
            <w:hideMark/>
          </w:tcPr>
          <w:p w:rsidR="00211B2E" w:rsidRPr="00A676E3" w:rsidRDefault="00211B2E" w:rsidP="00E7232A">
            <w:pPr>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Self-Referral</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16</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2.2%</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7</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4%</w:t>
            </w:r>
          </w:p>
        </w:tc>
        <w:tc>
          <w:tcPr>
            <w:tcW w:w="731" w:type="pct"/>
            <w:hideMark/>
          </w:tcPr>
          <w:p w:rsidR="00211B2E" w:rsidRPr="00A676E3" w:rsidRDefault="00211B2E" w:rsidP="00E7232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A676E3">
              <w:rPr>
                <w:rFonts w:ascii="Calibri" w:eastAsia="Times New Roman" w:hAnsi="Calibri" w:cs="Times New Roman"/>
                <w:color w:val="000000"/>
                <w:lang w:eastAsia="en-GB"/>
              </w:rPr>
              <w:t>44%</w:t>
            </w:r>
          </w:p>
        </w:tc>
      </w:tr>
    </w:tbl>
    <w:p w:rsidR="009B209E" w:rsidRPr="004B779A" w:rsidRDefault="009B209E" w:rsidP="009B209E">
      <w:pPr>
        <w:spacing w:after="0"/>
        <w:jc w:val="both"/>
        <w:rPr>
          <w:rFonts w:ascii="Arial" w:hAnsi="Arial" w:cs="Arial"/>
          <w:b/>
        </w:rPr>
      </w:pPr>
    </w:p>
    <w:p w:rsidR="009B209E" w:rsidRPr="004B779A" w:rsidRDefault="009B209E" w:rsidP="009B209E">
      <w:pPr>
        <w:spacing w:after="0"/>
        <w:jc w:val="both"/>
        <w:rPr>
          <w:rFonts w:ascii="Arial" w:hAnsi="Arial" w:cs="Arial"/>
        </w:rPr>
      </w:pPr>
    </w:p>
    <w:p w:rsidR="009B209E" w:rsidRPr="004B779A" w:rsidRDefault="009B209E" w:rsidP="009B209E">
      <w:pPr>
        <w:spacing w:after="0"/>
        <w:jc w:val="both"/>
        <w:rPr>
          <w:rFonts w:ascii="Arial" w:hAnsi="Arial" w:cs="Arial"/>
        </w:rPr>
      </w:pPr>
      <w:r w:rsidRPr="004B779A">
        <w:rPr>
          <w:rFonts w:ascii="Arial" w:hAnsi="Arial" w:cs="Arial"/>
        </w:rPr>
        <w:t xml:space="preserve">Table 1 gives information of source of concerns and it is noticeable that most concerns were raised by Secondary Health Providers, which include Ambulance Services.   In August 2017 we worked with the Ambulance Services in Thurrock and agreed that where a safeguarding concern was not clearly evident from the information, this would be passed to Thurrock First, our joint health and social care contact centre. Whilst referrals from this source have decreased we are still seeing only 18% conversion to an enquiry, so more work may be required in this area. This would prevent unnecessary enquiries and forward the referral to other social care services.  </w:t>
      </w:r>
    </w:p>
    <w:p w:rsidR="009B209E" w:rsidRDefault="009B209E" w:rsidP="009B209E">
      <w:pPr>
        <w:spacing w:after="0"/>
        <w:jc w:val="both"/>
        <w:rPr>
          <w:rFonts w:ascii="Arial" w:hAnsi="Arial" w:cs="Arial"/>
        </w:rPr>
      </w:pPr>
    </w:p>
    <w:p w:rsidR="00211B2E" w:rsidRDefault="00211B2E">
      <w:pPr>
        <w:rPr>
          <w:rFonts w:ascii="Arial" w:hAnsi="Arial" w:cs="Arial"/>
          <w:b/>
        </w:rPr>
      </w:pPr>
      <w:r>
        <w:rPr>
          <w:rFonts w:ascii="Arial" w:hAnsi="Arial" w:cs="Arial"/>
          <w:b/>
        </w:rPr>
        <w:br w:type="page"/>
      </w:r>
    </w:p>
    <w:p w:rsidR="004B779A" w:rsidRPr="004B779A" w:rsidRDefault="004B779A" w:rsidP="009B209E">
      <w:pPr>
        <w:spacing w:after="0"/>
        <w:jc w:val="both"/>
        <w:rPr>
          <w:rFonts w:ascii="Arial" w:hAnsi="Arial" w:cs="Arial"/>
          <w:b/>
        </w:rPr>
      </w:pPr>
      <w:r w:rsidRPr="004B779A">
        <w:rPr>
          <w:rFonts w:ascii="Arial" w:hAnsi="Arial" w:cs="Arial"/>
          <w:b/>
        </w:rPr>
        <w:lastRenderedPageBreak/>
        <w:t>Categories of abuse</w:t>
      </w:r>
    </w:p>
    <w:tbl>
      <w:tblPr>
        <w:tblStyle w:val="TableGrid"/>
        <w:tblpPr w:leftFromText="180" w:rightFromText="180" w:vertAnchor="text" w:horzAnchor="margin" w:tblpY="118"/>
        <w:tblOverlap w:val="never"/>
        <w:tblW w:w="9448" w:type="dxa"/>
        <w:tblLayout w:type="fixed"/>
        <w:tblLook w:val="0000" w:firstRow="0" w:lastRow="0" w:firstColumn="0" w:lastColumn="0" w:noHBand="0" w:noVBand="0"/>
      </w:tblPr>
      <w:tblGrid>
        <w:gridCol w:w="771"/>
        <w:gridCol w:w="688"/>
        <w:gridCol w:w="605"/>
        <w:gridCol w:w="983"/>
        <w:gridCol w:w="722"/>
        <w:gridCol w:w="1010"/>
        <w:gridCol w:w="1024"/>
        <w:gridCol w:w="743"/>
        <w:gridCol w:w="743"/>
        <w:gridCol w:w="867"/>
        <w:gridCol w:w="646"/>
        <w:gridCol w:w="646"/>
      </w:tblGrid>
      <w:tr w:rsidR="009340AA" w:rsidRPr="009340AA" w:rsidTr="00211B2E">
        <w:trPr>
          <w:trHeight w:val="1391"/>
        </w:trPr>
        <w:tc>
          <w:tcPr>
            <w:tcW w:w="771"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Collection Year</w:t>
            </w:r>
          </w:p>
        </w:tc>
        <w:tc>
          <w:tcPr>
            <w:tcW w:w="688"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 xml:space="preserve">Physical Abuse                            </w:t>
            </w:r>
          </w:p>
        </w:tc>
        <w:tc>
          <w:tcPr>
            <w:tcW w:w="605"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 xml:space="preserve">Sexual Abuse                              </w:t>
            </w:r>
          </w:p>
        </w:tc>
        <w:tc>
          <w:tcPr>
            <w:tcW w:w="983"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 xml:space="preserve">Psychological Abuse                    </w:t>
            </w:r>
          </w:p>
        </w:tc>
        <w:tc>
          <w:tcPr>
            <w:tcW w:w="722"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 xml:space="preserve">Financial or Material Abuse         </w:t>
            </w:r>
          </w:p>
        </w:tc>
        <w:tc>
          <w:tcPr>
            <w:tcW w:w="1010"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 xml:space="preserve">Discriminatory Abuse                   </w:t>
            </w:r>
          </w:p>
        </w:tc>
        <w:tc>
          <w:tcPr>
            <w:tcW w:w="1024"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 xml:space="preserve">Organisational Abuse                                                     </w:t>
            </w:r>
          </w:p>
        </w:tc>
        <w:tc>
          <w:tcPr>
            <w:tcW w:w="743"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 xml:space="preserve">Neglect and Acts of Omission                            </w:t>
            </w:r>
          </w:p>
        </w:tc>
        <w:tc>
          <w:tcPr>
            <w:tcW w:w="743"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 xml:space="preserve">Domestic Abuse                            </w:t>
            </w:r>
          </w:p>
        </w:tc>
        <w:tc>
          <w:tcPr>
            <w:tcW w:w="867"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 xml:space="preserve">Sexual Exploitation                   </w:t>
            </w:r>
          </w:p>
        </w:tc>
        <w:tc>
          <w:tcPr>
            <w:tcW w:w="646"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 xml:space="preserve">Modern Slavery     </w:t>
            </w:r>
          </w:p>
        </w:tc>
        <w:tc>
          <w:tcPr>
            <w:tcW w:w="646" w:type="dxa"/>
            <w:shd w:val="clear" w:color="auto" w:fill="9BBB59" w:themeFill="accent3"/>
          </w:tcPr>
          <w:p w:rsidR="00211B2E" w:rsidRPr="009340AA" w:rsidRDefault="00211B2E" w:rsidP="00E7232A">
            <w:pPr>
              <w:rPr>
                <w:b/>
                <w:color w:val="FFFFFF" w:themeColor="background1"/>
                <w:sz w:val="16"/>
                <w:szCs w:val="16"/>
              </w:rPr>
            </w:pPr>
            <w:r w:rsidRPr="009340AA">
              <w:rPr>
                <w:rFonts w:eastAsia="Arial"/>
                <w:b/>
                <w:color w:val="FFFFFF" w:themeColor="background1"/>
                <w:sz w:val="16"/>
                <w:szCs w:val="16"/>
              </w:rPr>
              <w:t xml:space="preserve">Self-Neglect                  </w:t>
            </w:r>
          </w:p>
        </w:tc>
      </w:tr>
      <w:tr w:rsidR="00211B2E" w:rsidRPr="009340AA" w:rsidTr="00E7232A">
        <w:trPr>
          <w:trHeight w:val="314"/>
        </w:trPr>
        <w:tc>
          <w:tcPr>
            <w:tcW w:w="771" w:type="dxa"/>
          </w:tcPr>
          <w:p w:rsidR="00211B2E" w:rsidRPr="009340AA" w:rsidRDefault="00211B2E" w:rsidP="00E7232A">
            <w:pPr>
              <w:jc w:val="center"/>
            </w:pPr>
            <w:r w:rsidRPr="009340AA">
              <w:rPr>
                <w:rFonts w:eastAsia="Arial"/>
                <w:color w:val="000000"/>
              </w:rPr>
              <w:t>2017-18</w:t>
            </w:r>
          </w:p>
        </w:tc>
        <w:tc>
          <w:tcPr>
            <w:tcW w:w="688" w:type="dxa"/>
          </w:tcPr>
          <w:p w:rsidR="00211B2E" w:rsidRPr="009340AA" w:rsidRDefault="00211B2E" w:rsidP="00E7232A">
            <w:pPr>
              <w:jc w:val="center"/>
            </w:pPr>
            <w:r w:rsidRPr="009340AA">
              <w:rPr>
                <w:rFonts w:eastAsia="Arial"/>
                <w:color w:val="000000"/>
              </w:rPr>
              <w:t>18%</w:t>
            </w:r>
          </w:p>
        </w:tc>
        <w:tc>
          <w:tcPr>
            <w:tcW w:w="605" w:type="dxa"/>
          </w:tcPr>
          <w:p w:rsidR="00211B2E" w:rsidRPr="009340AA" w:rsidRDefault="00211B2E" w:rsidP="00E7232A">
            <w:pPr>
              <w:jc w:val="center"/>
            </w:pPr>
            <w:r w:rsidRPr="009340AA">
              <w:rPr>
                <w:rFonts w:eastAsia="Arial"/>
                <w:color w:val="000000"/>
              </w:rPr>
              <w:t>3%</w:t>
            </w:r>
          </w:p>
        </w:tc>
        <w:tc>
          <w:tcPr>
            <w:tcW w:w="983" w:type="dxa"/>
          </w:tcPr>
          <w:p w:rsidR="00211B2E" w:rsidRPr="009340AA" w:rsidRDefault="00211B2E" w:rsidP="00E7232A">
            <w:pPr>
              <w:jc w:val="center"/>
            </w:pPr>
            <w:r w:rsidRPr="009340AA">
              <w:rPr>
                <w:rFonts w:eastAsia="Arial"/>
                <w:color w:val="000000"/>
              </w:rPr>
              <w:t>14%</w:t>
            </w:r>
          </w:p>
        </w:tc>
        <w:tc>
          <w:tcPr>
            <w:tcW w:w="722" w:type="dxa"/>
          </w:tcPr>
          <w:p w:rsidR="00211B2E" w:rsidRPr="009340AA" w:rsidRDefault="00211B2E" w:rsidP="00E7232A">
            <w:pPr>
              <w:jc w:val="center"/>
            </w:pPr>
            <w:r w:rsidRPr="009340AA">
              <w:rPr>
                <w:rFonts w:eastAsia="Arial"/>
                <w:color w:val="000000"/>
              </w:rPr>
              <w:t>18%</w:t>
            </w:r>
          </w:p>
        </w:tc>
        <w:tc>
          <w:tcPr>
            <w:tcW w:w="1010" w:type="dxa"/>
          </w:tcPr>
          <w:p w:rsidR="00211B2E" w:rsidRPr="009340AA" w:rsidRDefault="00211B2E" w:rsidP="00E7232A">
            <w:pPr>
              <w:jc w:val="center"/>
            </w:pPr>
            <w:r w:rsidRPr="009340AA">
              <w:rPr>
                <w:rFonts w:eastAsia="Arial"/>
                <w:color w:val="000000"/>
              </w:rPr>
              <w:t>0%</w:t>
            </w:r>
          </w:p>
        </w:tc>
        <w:tc>
          <w:tcPr>
            <w:tcW w:w="1024" w:type="dxa"/>
          </w:tcPr>
          <w:p w:rsidR="00211B2E" w:rsidRPr="009340AA" w:rsidRDefault="00211B2E" w:rsidP="00E7232A">
            <w:pPr>
              <w:jc w:val="center"/>
            </w:pPr>
            <w:r w:rsidRPr="009340AA">
              <w:rPr>
                <w:rFonts w:eastAsia="Arial"/>
                <w:color w:val="000000"/>
              </w:rPr>
              <w:t>7%</w:t>
            </w:r>
          </w:p>
        </w:tc>
        <w:tc>
          <w:tcPr>
            <w:tcW w:w="743" w:type="dxa"/>
          </w:tcPr>
          <w:p w:rsidR="00211B2E" w:rsidRPr="009340AA" w:rsidRDefault="00211B2E" w:rsidP="00E7232A">
            <w:pPr>
              <w:jc w:val="center"/>
            </w:pPr>
            <w:r w:rsidRPr="009340AA">
              <w:rPr>
                <w:rFonts w:eastAsia="Arial"/>
                <w:color w:val="000000"/>
              </w:rPr>
              <w:t>32%</w:t>
            </w:r>
          </w:p>
        </w:tc>
        <w:tc>
          <w:tcPr>
            <w:tcW w:w="743" w:type="dxa"/>
          </w:tcPr>
          <w:p w:rsidR="00211B2E" w:rsidRPr="009340AA" w:rsidRDefault="00211B2E" w:rsidP="00E7232A">
            <w:pPr>
              <w:jc w:val="center"/>
            </w:pPr>
            <w:r w:rsidRPr="009340AA">
              <w:rPr>
                <w:rFonts w:eastAsia="Arial"/>
                <w:color w:val="000000"/>
              </w:rPr>
              <w:t>4%</w:t>
            </w:r>
          </w:p>
        </w:tc>
        <w:tc>
          <w:tcPr>
            <w:tcW w:w="867" w:type="dxa"/>
          </w:tcPr>
          <w:p w:rsidR="00211B2E" w:rsidRPr="009340AA" w:rsidRDefault="00211B2E" w:rsidP="00E7232A">
            <w:pPr>
              <w:jc w:val="center"/>
            </w:pPr>
            <w:r w:rsidRPr="009340AA">
              <w:rPr>
                <w:rFonts w:eastAsia="Arial"/>
                <w:color w:val="000000"/>
              </w:rPr>
              <w:t>1%</w:t>
            </w:r>
          </w:p>
        </w:tc>
        <w:tc>
          <w:tcPr>
            <w:tcW w:w="646" w:type="dxa"/>
          </w:tcPr>
          <w:p w:rsidR="00211B2E" w:rsidRPr="009340AA" w:rsidRDefault="00211B2E" w:rsidP="00E7232A">
            <w:pPr>
              <w:jc w:val="center"/>
            </w:pPr>
            <w:r w:rsidRPr="009340AA">
              <w:rPr>
                <w:rFonts w:eastAsia="Arial"/>
                <w:color w:val="000000"/>
              </w:rPr>
              <w:t>0%*</w:t>
            </w:r>
          </w:p>
        </w:tc>
        <w:tc>
          <w:tcPr>
            <w:tcW w:w="646" w:type="dxa"/>
          </w:tcPr>
          <w:p w:rsidR="00211B2E" w:rsidRPr="009340AA" w:rsidRDefault="00211B2E" w:rsidP="00E7232A">
            <w:pPr>
              <w:jc w:val="center"/>
            </w:pPr>
            <w:r w:rsidRPr="009340AA">
              <w:rPr>
                <w:rFonts w:eastAsia="Arial"/>
                <w:color w:val="000000"/>
              </w:rPr>
              <w:t>5%</w:t>
            </w:r>
          </w:p>
        </w:tc>
      </w:tr>
    </w:tbl>
    <w:p w:rsidR="004B779A" w:rsidRPr="004B779A" w:rsidRDefault="004B779A" w:rsidP="009B209E">
      <w:pPr>
        <w:spacing w:after="0"/>
        <w:jc w:val="both"/>
        <w:rPr>
          <w:rFonts w:ascii="Arial" w:hAnsi="Arial" w:cs="Arial"/>
        </w:rPr>
      </w:pPr>
    </w:p>
    <w:p w:rsidR="009B209E" w:rsidRPr="004B779A" w:rsidRDefault="009B209E" w:rsidP="009B209E">
      <w:pPr>
        <w:spacing w:after="0"/>
        <w:jc w:val="both"/>
        <w:rPr>
          <w:rFonts w:ascii="Arial" w:hAnsi="Arial" w:cs="Arial"/>
        </w:rPr>
      </w:pPr>
    </w:p>
    <w:p w:rsidR="009B209E" w:rsidRPr="004B779A" w:rsidRDefault="009B209E" w:rsidP="009B209E">
      <w:pPr>
        <w:spacing w:after="0"/>
        <w:jc w:val="both"/>
        <w:rPr>
          <w:rFonts w:ascii="Arial" w:hAnsi="Arial" w:cs="Arial"/>
        </w:rPr>
      </w:pPr>
      <w:r w:rsidRPr="004B779A">
        <w:rPr>
          <w:rFonts w:ascii="Arial" w:hAnsi="Arial" w:cs="Arial"/>
        </w:rPr>
        <w:t xml:space="preserve">It is evident from the information in Table 2 that the most concerns relate to Neglect and Acts of Omission. Higher prevalence in this category of abuse can also be explained by home care agencies experiencing difficulties in care provision throughout the precarious care market. Physical Abuse is high and often not recorded accurately as Domestic Abuse. To improve practice we recently set up a Safeguarding Adults Practitioners Forum to drive best practice and ensure education to social workers to support better recording practice. Financial abuse is the third most prevalent type of abuse and in keeping with previous years of high levels of concern in this area of abuse. </w:t>
      </w:r>
    </w:p>
    <w:p w:rsidR="009B209E" w:rsidRPr="004B779A" w:rsidRDefault="009B209E" w:rsidP="009B209E">
      <w:pPr>
        <w:spacing w:after="0"/>
        <w:jc w:val="both"/>
        <w:rPr>
          <w:rFonts w:ascii="Arial" w:hAnsi="Arial" w:cs="Arial"/>
        </w:rPr>
      </w:pPr>
    </w:p>
    <w:p w:rsidR="009B209E" w:rsidRPr="004B779A" w:rsidRDefault="009B209E" w:rsidP="009B209E">
      <w:pPr>
        <w:spacing w:after="0"/>
        <w:jc w:val="both"/>
        <w:rPr>
          <w:rFonts w:ascii="Arial" w:hAnsi="Arial" w:cs="Arial"/>
        </w:rPr>
      </w:pPr>
      <w:r w:rsidRPr="004B779A">
        <w:rPr>
          <w:rFonts w:ascii="Arial" w:hAnsi="Arial" w:cs="Arial"/>
        </w:rPr>
        <w:t xml:space="preserve">This year Thurrock had a case of Modern Day Slavery (MDS), which was managed as part of a special operation led by Essex Police. The person was referred to the National Referral Mechanism and supported by the Salvation Army.  </w:t>
      </w:r>
    </w:p>
    <w:p w:rsidR="009B209E" w:rsidRPr="004B779A" w:rsidRDefault="009B209E" w:rsidP="009B209E">
      <w:pPr>
        <w:spacing w:after="0"/>
        <w:jc w:val="both"/>
        <w:rPr>
          <w:rFonts w:ascii="Arial" w:hAnsi="Arial" w:cs="Arial"/>
        </w:rPr>
      </w:pPr>
      <w:r w:rsidRPr="004B779A">
        <w:rPr>
          <w:rFonts w:ascii="Arial" w:hAnsi="Arial" w:cs="Arial"/>
        </w:rPr>
        <w:t xml:space="preserve">The safeguarding team also took part in a local police operation that supported 3 other victims of MDS to access the NRM.  Owing to nature of operation and the Police leading these were not in the first instance directly referred to the safeguarding team, so not captured in our data.  </w:t>
      </w:r>
    </w:p>
    <w:p w:rsidR="009B209E" w:rsidRPr="004B779A" w:rsidRDefault="009B209E" w:rsidP="009B209E">
      <w:pPr>
        <w:spacing w:after="0"/>
        <w:jc w:val="both"/>
        <w:rPr>
          <w:rFonts w:ascii="Arial" w:hAnsi="Arial" w:cs="Arial"/>
        </w:rPr>
      </w:pPr>
    </w:p>
    <w:p w:rsidR="009B209E" w:rsidRPr="004B779A" w:rsidRDefault="009B209E" w:rsidP="004B779A">
      <w:pPr>
        <w:spacing w:after="0"/>
        <w:jc w:val="both"/>
        <w:rPr>
          <w:rFonts w:ascii="Arial" w:hAnsi="Arial" w:cs="Arial"/>
          <w:b/>
        </w:rPr>
      </w:pPr>
      <w:r w:rsidRPr="004B779A">
        <w:rPr>
          <w:rFonts w:ascii="Arial" w:hAnsi="Arial" w:cs="Arial"/>
          <w:b/>
        </w:rPr>
        <w:t xml:space="preserve">Enquiries by </w:t>
      </w:r>
      <w:r w:rsidR="008811B9">
        <w:rPr>
          <w:rFonts w:ascii="Arial" w:hAnsi="Arial" w:cs="Arial"/>
          <w:b/>
        </w:rPr>
        <w:t>age and gender</w:t>
      </w:r>
      <w:r w:rsidRPr="004B779A">
        <w:rPr>
          <w:rFonts w:ascii="Arial" w:hAnsi="Arial" w:cs="Arial"/>
          <w:b/>
        </w:rPr>
        <w:t xml:space="preserve"> </w:t>
      </w:r>
    </w:p>
    <w:p w:rsidR="009B209E" w:rsidRPr="004B779A" w:rsidRDefault="009B209E" w:rsidP="009B209E">
      <w:pPr>
        <w:spacing w:after="0"/>
        <w:jc w:val="both"/>
        <w:rPr>
          <w:rFonts w:ascii="Arial" w:hAnsi="Arial" w:cs="Arial"/>
        </w:rPr>
      </w:pPr>
    </w:p>
    <w:p w:rsidR="009B209E" w:rsidRPr="004B779A" w:rsidRDefault="009B209E" w:rsidP="009B209E">
      <w:pPr>
        <w:spacing w:before="9" w:after="0" w:line="220" w:lineRule="exact"/>
        <w:jc w:val="both"/>
        <w:rPr>
          <w:rFonts w:ascii="Arial" w:hAnsi="Arial" w:cs="Arial"/>
        </w:rPr>
      </w:pPr>
    </w:p>
    <w:tbl>
      <w:tblPr>
        <w:tblStyle w:val="TableGrid"/>
        <w:tblW w:w="4965" w:type="pct"/>
        <w:tblLook w:val="0000" w:firstRow="0" w:lastRow="0" w:firstColumn="0" w:lastColumn="0" w:noHBand="0" w:noVBand="0"/>
      </w:tblPr>
      <w:tblGrid>
        <w:gridCol w:w="1242"/>
        <w:gridCol w:w="1208"/>
        <w:gridCol w:w="1378"/>
        <w:gridCol w:w="1378"/>
        <w:gridCol w:w="1378"/>
        <w:gridCol w:w="1378"/>
        <w:gridCol w:w="1567"/>
      </w:tblGrid>
      <w:tr w:rsidR="009340AA" w:rsidRPr="009340AA" w:rsidTr="0019457F">
        <w:trPr>
          <w:trHeight w:val="471"/>
        </w:trPr>
        <w:tc>
          <w:tcPr>
            <w:tcW w:w="652" w:type="pct"/>
            <w:shd w:val="clear" w:color="auto" w:fill="9BBB59" w:themeFill="accent3"/>
          </w:tcPr>
          <w:p w:rsidR="00211B2E" w:rsidRPr="009340AA" w:rsidRDefault="00211B2E" w:rsidP="00E7232A">
            <w:pPr>
              <w:rPr>
                <w:b/>
                <w:color w:val="FFFFFF" w:themeColor="background1"/>
              </w:rPr>
            </w:pPr>
            <w:r w:rsidRPr="009340AA">
              <w:rPr>
                <w:b/>
                <w:color w:val="FFFFFF" w:themeColor="background1"/>
              </w:rPr>
              <w:t>Age</w:t>
            </w:r>
          </w:p>
        </w:tc>
        <w:tc>
          <w:tcPr>
            <w:tcW w:w="634" w:type="pct"/>
            <w:shd w:val="clear" w:color="auto" w:fill="9BBB59" w:themeFill="accent3"/>
          </w:tcPr>
          <w:p w:rsidR="00211B2E" w:rsidRPr="009340AA" w:rsidRDefault="00211B2E" w:rsidP="00E7232A">
            <w:pPr>
              <w:jc w:val="right"/>
              <w:rPr>
                <w:b/>
                <w:color w:val="FFFFFF" w:themeColor="background1"/>
              </w:rPr>
            </w:pPr>
            <w:r w:rsidRPr="009340AA">
              <w:rPr>
                <w:rFonts w:eastAsia="Arial"/>
                <w:b/>
                <w:color w:val="FFFFFF" w:themeColor="background1"/>
              </w:rPr>
              <w:t>18-64</w:t>
            </w:r>
          </w:p>
        </w:tc>
        <w:tc>
          <w:tcPr>
            <w:tcW w:w="723" w:type="pct"/>
            <w:shd w:val="clear" w:color="auto" w:fill="9BBB59" w:themeFill="accent3"/>
          </w:tcPr>
          <w:p w:rsidR="00211B2E" w:rsidRPr="009340AA" w:rsidRDefault="00211B2E" w:rsidP="00E7232A">
            <w:pPr>
              <w:jc w:val="right"/>
              <w:rPr>
                <w:b/>
                <w:color w:val="FFFFFF" w:themeColor="background1"/>
              </w:rPr>
            </w:pPr>
            <w:r w:rsidRPr="009340AA">
              <w:rPr>
                <w:rFonts w:eastAsia="Arial"/>
                <w:b/>
                <w:color w:val="FFFFFF" w:themeColor="background1"/>
              </w:rPr>
              <w:t>65-74</w:t>
            </w:r>
          </w:p>
        </w:tc>
        <w:tc>
          <w:tcPr>
            <w:tcW w:w="723" w:type="pct"/>
            <w:shd w:val="clear" w:color="auto" w:fill="9BBB59" w:themeFill="accent3"/>
          </w:tcPr>
          <w:p w:rsidR="00211B2E" w:rsidRPr="009340AA" w:rsidRDefault="00211B2E" w:rsidP="00E7232A">
            <w:pPr>
              <w:jc w:val="right"/>
              <w:rPr>
                <w:b/>
                <w:color w:val="FFFFFF" w:themeColor="background1"/>
              </w:rPr>
            </w:pPr>
            <w:r w:rsidRPr="009340AA">
              <w:rPr>
                <w:rFonts w:eastAsia="Arial"/>
                <w:b/>
                <w:color w:val="FFFFFF" w:themeColor="background1"/>
              </w:rPr>
              <w:t>75-84</w:t>
            </w:r>
          </w:p>
        </w:tc>
        <w:tc>
          <w:tcPr>
            <w:tcW w:w="723" w:type="pct"/>
            <w:shd w:val="clear" w:color="auto" w:fill="9BBB59" w:themeFill="accent3"/>
          </w:tcPr>
          <w:p w:rsidR="00211B2E" w:rsidRPr="009340AA" w:rsidRDefault="00211B2E" w:rsidP="00E7232A">
            <w:pPr>
              <w:jc w:val="right"/>
              <w:rPr>
                <w:b/>
                <w:color w:val="FFFFFF" w:themeColor="background1"/>
              </w:rPr>
            </w:pPr>
            <w:r w:rsidRPr="009340AA">
              <w:rPr>
                <w:rFonts w:eastAsia="Arial"/>
                <w:b/>
                <w:color w:val="FFFFFF" w:themeColor="background1"/>
              </w:rPr>
              <w:t>85-94</w:t>
            </w:r>
          </w:p>
        </w:tc>
        <w:tc>
          <w:tcPr>
            <w:tcW w:w="723" w:type="pct"/>
            <w:shd w:val="clear" w:color="auto" w:fill="9BBB59" w:themeFill="accent3"/>
          </w:tcPr>
          <w:p w:rsidR="00211B2E" w:rsidRPr="009340AA" w:rsidRDefault="00211B2E" w:rsidP="00E7232A">
            <w:pPr>
              <w:jc w:val="right"/>
              <w:rPr>
                <w:b/>
                <w:color w:val="FFFFFF" w:themeColor="background1"/>
              </w:rPr>
            </w:pPr>
            <w:r w:rsidRPr="009340AA">
              <w:rPr>
                <w:rFonts w:eastAsia="Arial"/>
                <w:b/>
                <w:color w:val="FFFFFF" w:themeColor="background1"/>
              </w:rPr>
              <w:t>95+</w:t>
            </w:r>
          </w:p>
        </w:tc>
        <w:tc>
          <w:tcPr>
            <w:tcW w:w="822" w:type="pct"/>
            <w:shd w:val="clear" w:color="auto" w:fill="9BBB59" w:themeFill="accent3"/>
          </w:tcPr>
          <w:p w:rsidR="00211B2E" w:rsidRPr="009340AA" w:rsidRDefault="00211B2E" w:rsidP="00E7232A">
            <w:pPr>
              <w:jc w:val="right"/>
              <w:rPr>
                <w:b/>
                <w:color w:val="FFFFFF" w:themeColor="background1"/>
              </w:rPr>
            </w:pPr>
            <w:r w:rsidRPr="009340AA">
              <w:rPr>
                <w:rFonts w:eastAsia="Arial"/>
                <w:b/>
                <w:color w:val="FFFFFF" w:themeColor="background1"/>
              </w:rPr>
              <w:t>Not Known</w:t>
            </w:r>
          </w:p>
        </w:tc>
      </w:tr>
      <w:tr w:rsidR="00211B2E" w:rsidRPr="003C4C0F" w:rsidTr="0019457F">
        <w:trPr>
          <w:trHeight w:val="262"/>
        </w:trPr>
        <w:tc>
          <w:tcPr>
            <w:tcW w:w="652" w:type="pct"/>
          </w:tcPr>
          <w:p w:rsidR="00211B2E" w:rsidRPr="003C4C0F" w:rsidRDefault="00211B2E" w:rsidP="00E7232A">
            <w:r w:rsidRPr="003C4C0F">
              <w:rPr>
                <w:rFonts w:eastAsia="Arial"/>
                <w:color w:val="000000"/>
              </w:rPr>
              <w:t>2017-18</w:t>
            </w:r>
          </w:p>
        </w:tc>
        <w:tc>
          <w:tcPr>
            <w:tcW w:w="634" w:type="pct"/>
          </w:tcPr>
          <w:p w:rsidR="00211B2E" w:rsidRPr="003C4C0F" w:rsidRDefault="00211B2E" w:rsidP="00E7232A">
            <w:pPr>
              <w:jc w:val="right"/>
            </w:pPr>
            <w:r w:rsidRPr="003C4C0F">
              <w:rPr>
                <w:rFonts w:eastAsia="Arial"/>
                <w:color w:val="000000"/>
              </w:rPr>
              <w:t>42%</w:t>
            </w:r>
          </w:p>
        </w:tc>
        <w:tc>
          <w:tcPr>
            <w:tcW w:w="723" w:type="pct"/>
          </w:tcPr>
          <w:p w:rsidR="00211B2E" w:rsidRPr="003C4C0F" w:rsidRDefault="00211B2E" w:rsidP="00E7232A">
            <w:pPr>
              <w:jc w:val="right"/>
            </w:pPr>
            <w:r w:rsidRPr="003C4C0F">
              <w:rPr>
                <w:rFonts w:eastAsia="Arial"/>
                <w:color w:val="000000"/>
              </w:rPr>
              <w:t>14%</w:t>
            </w:r>
          </w:p>
        </w:tc>
        <w:tc>
          <w:tcPr>
            <w:tcW w:w="723" w:type="pct"/>
          </w:tcPr>
          <w:p w:rsidR="00211B2E" w:rsidRPr="003C4C0F" w:rsidRDefault="00211B2E" w:rsidP="00E7232A">
            <w:pPr>
              <w:jc w:val="right"/>
            </w:pPr>
            <w:r w:rsidRPr="003C4C0F">
              <w:rPr>
                <w:rFonts w:eastAsia="Arial"/>
                <w:color w:val="000000"/>
              </w:rPr>
              <w:t>19%</w:t>
            </w:r>
          </w:p>
        </w:tc>
        <w:tc>
          <w:tcPr>
            <w:tcW w:w="723" w:type="pct"/>
          </w:tcPr>
          <w:p w:rsidR="00211B2E" w:rsidRPr="003C4C0F" w:rsidRDefault="00211B2E" w:rsidP="00E7232A">
            <w:pPr>
              <w:jc w:val="right"/>
            </w:pPr>
            <w:r w:rsidRPr="003C4C0F">
              <w:rPr>
                <w:rFonts w:eastAsia="Arial"/>
                <w:color w:val="000000"/>
              </w:rPr>
              <w:t>21%</w:t>
            </w:r>
          </w:p>
        </w:tc>
        <w:tc>
          <w:tcPr>
            <w:tcW w:w="723" w:type="pct"/>
          </w:tcPr>
          <w:p w:rsidR="00211B2E" w:rsidRPr="003C4C0F" w:rsidRDefault="00211B2E" w:rsidP="00E7232A">
            <w:pPr>
              <w:jc w:val="right"/>
            </w:pPr>
            <w:r w:rsidRPr="003C4C0F">
              <w:rPr>
                <w:rFonts w:eastAsia="Arial"/>
                <w:color w:val="000000"/>
              </w:rPr>
              <w:t>4%</w:t>
            </w:r>
          </w:p>
        </w:tc>
        <w:tc>
          <w:tcPr>
            <w:tcW w:w="822" w:type="pct"/>
          </w:tcPr>
          <w:p w:rsidR="00211B2E" w:rsidRPr="003C4C0F" w:rsidRDefault="00211B2E" w:rsidP="00E7232A">
            <w:pPr>
              <w:jc w:val="right"/>
            </w:pPr>
            <w:r w:rsidRPr="003C4C0F">
              <w:rPr>
                <w:rFonts w:eastAsia="Arial"/>
                <w:color w:val="000000"/>
              </w:rPr>
              <w:t>0%</w:t>
            </w:r>
          </w:p>
        </w:tc>
      </w:tr>
    </w:tbl>
    <w:p w:rsidR="009B209E" w:rsidRPr="004B779A" w:rsidRDefault="009B209E" w:rsidP="009B209E">
      <w:pPr>
        <w:spacing w:after="0"/>
        <w:jc w:val="both"/>
        <w:rPr>
          <w:rFonts w:ascii="Arial" w:hAnsi="Arial" w:cs="Arial"/>
        </w:rPr>
      </w:pPr>
    </w:p>
    <w:p w:rsidR="009B209E" w:rsidRPr="004B779A" w:rsidRDefault="009B209E" w:rsidP="009B209E">
      <w:pPr>
        <w:spacing w:after="0"/>
        <w:jc w:val="both"/>
        <w:rPr>
          <w:rFonts w:ascii="Arial" w:hAnsi="Arial" w:cs="Arial"/>
          <w:i/>
        </w:rPr>
      </w:pPr>
    </w:p>
    <w:tbl>
      <w:tblPr>
        <w:tblStyle w:val="TableGrid"/>
        <w:tblW w:w="4931" w:type="pct"/>
        <w:tblLook w:val="0000" w:firstRow="0" w:lastRow="0" w:firstColumn="0" w:lastColumn="0" w:noHBand="0" w:noVBand="0"/>
      </w:tblPr>
      <w:tblGrid>
        <w:gridCol w:w="1222"/>
        <w:gridCol w:w="2815"/>
        <w:gridCol w:w="2815"/>
        <w:gridCol w:w="2612"/>
      </w:tblGrid>
      <w:tr w:rsidR="009340AA" w:rsidRPr="009340AA" w:rsidTr="0019457F">
        <w:trPr>
          <w:trHeight w:val="471"/>
        </w:trPr>
        <w:tc>
          <w:tcPr>
            <w:tcW w:w="646" w:type="pct"/>
            <w:shd w:val="clear" w:color="auto" w:fill="9BBB59" w:themeFill="accent3"/>
          </w:tcPr>
          <w:p w:rsidR="00211B2E" w:rsidRPr="009340AA" w:rsidRDefault="00211B2E" w:rsidP="00E7232A">
            <w:pPr>
              <w:rPr>
                <w:b/>
                <w:color w:val="FFFFFF" w:themeColor="background1"/>
              </w:rPr>
            </w:pPr>
            <w:r w:rsidRPr="009340AA">
              <w:rPr>
                <w:rFonts w:eastAsia="Arial"/>
                <w:b/>
                <w:color w:val="FFFFFF" w:themeColor="background1"/>
              </w:rPr>
              <w:t>Gender</w:t>
            </w:r>
          </w:p>
        </w:tc>
        <w:tc>
          <w:tcPr>
            <w:tcW w:w="1487" w:type="pct"/>
            <w:shd w:val="clear" w:color="auto" w:fill="9BBB59" w:themeFill="accent3"/>
          </w:tcPr>
          <w:p w:rsidR="00211B2E" w:rsidRPr="009340AA" w:rsidRDefault="00211B2E" w:rsidP="00E7232A">
            <w:pPr>
              <w:jc w:val="right"/>
              <w:rPr>
                <w:b/>
                <w:color w:val="FFFFFF" w:themeColor="background1"/>
              </w:rPr>
            </w:pPr>
            <w:r w:rsidRPr="009340AA">
              <w:rPr>
                <w:rFonts w:eastAsia="Arial"/>
                <w:b/>
                <w:color w:val="FFFFFF" w:themeColor="background1"/>
              </w:rPr>
              <w:t>Male</w:t>
            </w:r>
          </w:p>
        </w:tc>
        <w:tc>
          <w:tcPr>
            <w:tcW w:w="1487" w:type="pct"/>
            <w:shd w:val="clear" w:color="auto" w:fill="9BBB59" w:themeFill="accent3"/>
          </w:tcPr>
          <w:p w:rsidR="00211B2E" w:rsidRPr="009340AA" w:rsidRDefault="00211B2E" w:rsidP="00E7232A">
            <w:pPr>
              <w:jc w:val="right"/>
              <w:rPr>
                <w:b/>
                <w:color w:val="FFFFFF" w:themeColor="background1"/>
              </w:rPr>
            </w:pPr>
            <w:r w:rsidRPr="009340AA">
              <w:rPr>
                <w:rFonts w:eastAsia="Arial"/>
                <w:b/>
                <w:color w:val="FFFFFF" w:themeColor="background1"/>
              </w:rPr>
              <w:t>Female</w:t>
            </w:r>
          </w:p>
        </w:tc>
        <w:tc>
          <w:tcPr>
            <w:tcW w:w="1380" w:type="pct"/>
            <w:shd w:val="clear" w:color="auto" w:fill="9BBB59" w:themeFill="accent3"/>
          </w:tcPr>
          <w:p w:rsidR="00211B2E" w:rsidRPr="009340AA" w:rsidRDefault="00211B2E" w:rsidP="00E7232A">
            <w:pPr>
              <w:jc w:val="right"/>
              <w:rPr>
                <w:b/>
                <w:color w:val="FFFFFF" w:themeColor="background1"/>
              </w:rPr>
            </w:pPr>
            <w:r w:rsidRPr="009340AA">
              <w:rPr>
                <w:rFonts w:eastAsia="Arial"/>
                <w:b/>
                <w:color w:val="FFFFFF" w:themeColor="background1"/>
              </w:rPr>
              <w:t>Not Known</w:t>
            </w:r>
          </w:p>
        </w:tc>
      </w:tr>
      <w:tr w:rsidR="00211B2E" w:rsidRPr="009340AA" w:rsidTr="0019457F">
        <w:trPr>
          <w:trHeight w:val="262"/>
        </w:trPr>
        <w:tc>
          <w:tcPr>
            <w:tcW w:w="646" w:type="pct"/>
          </w:tcPr>
          <w:p w:rsidR="00211B2E" w:rsidRPr="009340AA" w:rsidRDefault="00211B2E" w:rsidP="00E7232A">
            <w:r w:rsidRPr="009340AA">
              <w:rPr>
                <w:rFonts w:eastAsia="Arial"/>
                <w:color w:val="000000"/>
              </w:rPr>
              <w:t>2017-18</w:t>
            </w:r>
          </w:p>
        </w:tc>
        <w:tc>
          <w:tcPr>
            <w:tcW w:w="1487" w:type="pct"/>
          </w:tcPr>
          <w:p w:rsidR="00211B2E" w:rsidRPr="009340AA" w:rsidRDefault="00211B2E" w:rsidP="00E7232A">
            <w:pPr>
              <w:jc w:val="center"/>
            </w:pPr>
            <w:r w:rsidRPr="009340AA">
              <w:rPr>
                <w:rFonts w:eastAsia="Arial"/>
                <w:color w:val="000000"/>
              </w:rPr>
              <w:t>40%</w:t>
            </w:r>
          </w:p>
        </w:tc>
        <w:tc>
          <w:tcPr>
            <w:tcW w:w="1487" w:type="pct"/>
          </w:tcPr>
          <w:p w:rsidR="00211B2E" w:rsidRPr="009340AA" w:rsidRDefault="00211B2E" w:rsidP="00E7232A">
            <w:pPr>
              <w:jc w:val="center"/>
            </w:pPr>
            <w:r w:rsidRPr="009340AA">
              <w:rPr>
                <w:rFonts w:eastAsia="Arial"/>
                <w:color w:val="000000"/>
              </w:rPr>
              <w:t>60%</w:t>
            </w:r>
          </w:p>
        </w:tc>
        <w:tc>
          <w:tcPr>
            <w:tcW w:w="1380" w:type="pct"/>
          </w:tcPr>
          <w:p w:rsidR="00211B2E" w:rsidRPr="009340AA" w:rsidRDefault="00211B2E" w:rsidP="00E7232A">
            <w:pPr>
              <w:jc w:val="center"/>
            </w:pPr>
            <w:r w:rsidRPr="009340AA">
              <w:rPr>
                <w:rFonts w:eastAsia="Arial"/>
                <w:color w:val="000000"/>
              </w:rPr>
              <w:t>0%</w:t>
            </w:r>
          </w:p>
        </w:tc>
      </w:tr>
    </w:tbl>
    <w:p w:rsidR="009B209E" w:rsidRPr="004B779A" w:rsidRDefault="009B209E" w:rsidP="009B209E">
      <w:pPr>
        <w:spacing w:after="0"/>
        <w:jc w:val="both"/>
        <w:rPr>
          <w:rFonts w:ascii="Arial" w:hAnsi="Arial" w:cs="Arial"/>
        </w:rPr>
      </w:pPr>
    </w:p>
    <w:p w:rsidR="009B209E" w:rsidRPr="004B779A" w:rsidRDefault="009B209E" w:rsidP="009B209E">
      <w:pPr>
        <w:spacing w:after="0"/>
        <w:jc w:val="both"/>
        <w:rPr>
          <w:rFonts w:ascii="Arial" w:hAnsi="Arial" w:cs="Arial"/>
        </w:rPr>
      </w:pPr>
    </w:p>
    <w:p w:rsidR="009B209E" w:rsidRPr="004B779A" w:rsidRDefault="009B209E" w:rsidP="009B209E">
      <w:pPr>
        <w:spacing w:after="0"/>
        <w:jc w:val="both"/>
        <w:rPr>
          <w:rFonts w:ascii="Arial" w:hAnsi="Arial" w:cs="Arial"/>
        </w:rPr>
      </w:pPr>
      <w:r w:rsidRPr="004B779A">
        <w:rPr>
          <w:rFonts w:ascii="Arial" w:hAnsi="Arial" w:cs="Arial"/>
        </w:rPr>
        <w:t xml:space="preserve">Safeguarding concerns by age and gender breakdown is similar to most other English authorities, as seen in Table 3 and 4.   Females remain the highest gender. In Thurrock majority of Enquiries are concerning people over 65, with 36 being 85 or over, reflective of our aging population.  </w:t>
      </w:r>
    </w:p>
    <w:p w:rsidR="009B209E" w:rsidRPr="004B779A" w:rsidRDefault="009B209E" w:rsidP="009B209E">
      <w:pPr>
        <w:spacing w:after="0"/>
        <w:jc w:val="both"/>
        <w:rPr>
          <w:rFonts w:ascii="Arial" w:hAnsi="Arial" w:cs="Arial"/>
          <w:b/>
        </w:rPr>
      </w:pPr>
    </w:p>
    <w:p w:rsidR="009B209E" w:rsidRPr="004B779A" w:rsidRDefault="009B209E" w:rsidP="004B779A">
      <w:pPr>
        <w:spacing w:after="0"/>
        <w:jc w:val="both"/>
        <w:rPr>
          <w:rFonts w:ascii="Arial" w:hAnsi="Arial" w:cs="Arial"/>
          <w:b/>
        </w:rPr>
      </w:pPr>
      <w:r w:rsidRPr="004B779A">
        <w:rPr>
          <w:rFonts w:ascii="Arial" w:hAnsi="Arial" w:cs="Arial"/>
          <w:b/>
        </w:rPr>
        <w:t>Ethnicity</w:t>
      </w:r>
    </w:p>
    <w:p w:rsidR="009B209E" w:rsidRPr="004B779A" w:rsidRDefault="009B209E" w:rsidP="009B209E">
      <w:pPr>
        <w:spacing w:after="0"/>
        <w:jc w:val="both"/>
        <w:rPr>
          <w:rFonts w:ascii="Arial" w:hAnsi="Arial" w:cs="Arial"/>
        </w:rPr>
      </w:pPr>
    </w:p>
    <w:p w:rsidR="009B209E" w:rsidRPr="004B779A" w:rsidRDefault="009B209E" w:rsidP="009B209E">
      <w:pPr>
        <w:spacing w:after="0"/>
        <w:jc w:val="both"/>
        <w:rPr>
          <w:rFonts w:ascii="Arial" w:hAnsi="Arial" w:cs="Arial"/>
        </w:rPr>
      </w:pPr>
      <w:proofErr w:type="gramStart"/>
      <w:r w:rsidRPr="004B779A">
        <w:rPr>
          <w:rFonts w:ascii="Arial" w:hAnsi="Arial" w:cs="Arial"/>
        </w:rPr>
        <w:t>Most people who had concerns raised about their safety to the Adult Safeguarding Team in Thurrock described themselves as British.</w:t>
      </w:r>
      <w:proofErr w:type="gramEnd"/>
      <w:r w:rsidRPr="004B779A">
        <w:rPr>
          <w:rFonts w:ascii="Arial" w:hAnsi="Arial" w:cs="Arial"/>
        </w:rPr>
        <w:t xml:space="preserve"> This is shown in Table 5 </w:t>
      </w:r>
    </w:p>
    <w:p w:rsidR="009B209E" w:rsidRPr="004B779A" w:rsidRDefault="009B209E" w:rsidP="009B209E">
      <w:pPr>
        <w:spacing w:after="0"/>
        <w:jc w:val="both"/>
        <w:rPr>
          <w:rFonts w:ascii="Arial" w:hAnsi="Arial" w:cs="Arial"/>
          <w:i/>
        </w:rPr>
      </w:pPr>
    </w:p>
    <w:tbl>
      <w:tblPr>
        <w:tblW w:w="4857" w:type="pct"/>
        <w:tblLayout w:type="fixed"/>
        <w:tblCellMar>
          <w:left w:w="0" w:type="dxa"/>
          <w:right w:w="0" w:type="dxa"/>
        </w:tblCellMar>
        <w:tblLook w:val="04A0" w:firstRow="1" w:lastRow="0" w:firstColumn="1" w:lastColumn="0" w:noHBand="0" w:noVBand="1"/>
      </w:tblPr>
      <w:tblGrid>
        <w:gridCol w:w="1323"/>
        <w:gridCol w:w="20"/>
        <w:gridCol w:w="20"/>
        <w:gridCol w:w="20"/>
        <w:gridCol w:w="20"/>
        <w:gridCol w:w="814"/>
        <w:gridCol w:w="1018"/>
        <w:gridCol w:w="885"/>
        <w:gridCol w:w="1254"/>
        <w:gridCol w:w="863"/>
        <w:gridCol w:w="1051"/>
        <w:gridCol w:w="1374"/>
        <w:gridCol w:w="660"/>
      </w:tblGrid>
      <w:tr w:rsidR="009340AA" w:rsidRPr="009340AA" w:rsidTr="00035C86">
        <w:trPr>
          <w:trHeight w:val="478"/>
        </w:trPr>
        <w:tc>
          <w:tcPr>
            <w:tcW w:w="713" w:type="pct"/>
            <w:tcBorders>
              <w:top w:val="single" w:sz="8" w:space="0" w:color="9BBB59"/>
              <w:left w:val="single" w:sz="8" w:space="0" w:color="9BBB59"/>
              <w:bottom w:val="nil"/>
              <w:right w:val="nil"/>
            </w:tcBorders>
            <w:shd w:val="clear" w:color="auto" w:fill="9BBB59"/>
            <w:tcMar>
              <w:top w:w="0" w:type="dxa"/>
              <w:left w:w="108" w:type="dxa"/>
              <w:bottom w:w="0" w:type="dxa"/>
              <w:right w:w="108" w:type="dxa"/>
            </w:tcMar>
          </w:tcPr>
          <w:p w:rsidR="004B779A" w:rsidRPr="009340AA" w:rsidRDefault="004B779A" w:rsidP="00593EB4">
            <w:pPr>
              <w:rPr>
                <w:rFonts w:cs="Arial"/>
                <w:b/>
                <w:bCs/>
                <w:color w:val="FFFFFF" w:themeColor="background1"/>
                <w:lang w:eastAsia="en-GB"/>
              </w:rPr>
            </w:pPr>
            <w:r w:rsidRPr="009340AA">
              <w:rPr>
                <w:rFonts w:cs="Arial"/>
                <w:b/>
                <w:bCs/>
                <w:color w:val="FFFFFF" w:themeColor="background1"/>
                <w:lang w:eastAsia="en-GB"/>
              </w:rPr>
              <w:t>TABLE 5</w:t>
            </w:r>
          </w:p>
        </w:tc>
        <w:tc>
          <w:tcPr>
            <w:tcW w:w="3" w:type="pct"/>
            <w:tcBorders>
              <w:top w:val="single" w:sz="8" w:space="0" w:color="9BBB59"/>
              <w:left w:val="nil"/>
              <w:bottom w:val="nil"/>
              <w:right w:val="nil"/>
            </w:tcBorders>
            <w:shd w:val="clear" w:color="auto" w:fill="9BBB59"/>
          </w:tcPr>
          <w:p w:rsidR="004B779A" w:rsidRPr="009340AA" w:rsidRDefault="004B779A" w:rsidP="00593EB4">
            <w:pPr>
              <w:rPr>
                <w:rFonts w:cs="Arial"/>
                <w:b/>
                <w:bCs/>
                <w:color w:val="FFFFFF" w:themeColor="background1"/>
                <w:lang w:eastAsia="en-GB"/>
              </w:rPr>
            </w:pPr>
          </w:p>
        </w:tc>
        <w:tc>
          <w:tcPr>
            <w:tcW w:w="3" w:type="pct"/>
            <w:tcBorders>
              <w:top w:val="single" w:sz="8" w:space="0" w:color="9BBB59"/>
              <w:left w:val="nil"/>
              <w:bottom w:val="nil"/>
              <w:right w:val="nil"/>
            </w:tcBorders>
            <w:shd w:val="clear" w:color="auto" w:fill="9BBB59"/>
          </w:tcPr>
          <w:p w:rsidR="004B779A" w:rsidRPr="009340AA" w:rsidRDefault="004B779A" w:rsidP="00593EB4">
            <w:pPr>
              <w:rPr>
                <w:rFonts w:cs="Arial"/>
                <w:b/>
                <w:bCs/>
                <w:color w:val="FFFFFF" w:themeColor="background1"/>
                <w:lang w:eastAsia="en-GB"/>
              </w:rPr>
            </w:pPr>
          </w:p>
        </w:tc>
        <w:tc>
          <w:tcPr>
            <w:tcW w:w="3" w:type="pct"/>
            <w:tcBorders>
              <w:top w:val="single" w:sz="8" w:space="0" w:color="9BBB59"/>
              <w:left w:val="nil"/>
              <w:bottom w:val="nil"/>
              <w:right w:val="nil"/>
            </w:tcBorders>
            <w:shd w:val="clear" w:color="auto" w:fill="9BBB59"/>
          </w:tcPr>
          <w:p w:rsidR="004B779A" w:rsidRPr="009340AA" w:rsidRDefault="004B779A" w:rsidP="00593EB4">
            <w:pPr>
              <w:rPr>
                <w:rFonts w:cs="Arial"/>
                <w:b/>
                <w:bCs/>
                <w:color w:val="FFFFFF" w:themeColor="background1"/>
                <w:lang w:eastAsia="en-GB"/>
              </w:rPr>
            </w:pPr>
          </w:p>
        </w:tc>
        <w:tc>
          <w:tcPr>
            <w:tcW w:w="3" w:type="pct"/>
            <w:tcBorders>
              <w:top w:val="single" w:sz="8" w:space="0" w:color="9BBB59"/>
              <w:left w:val="nil"/>
              <w:bottom w:val="nil"/>
              <w:right w:val="nil"/>
            </w:tcBorders>
            <w:shd w:val="clear" w:color="auto" w:fill="9BBB59"/>
          </w:tcPr>
          <w:p w:rsidR="004B779A" w:rsidRPr="009340AA" w:rsidRDefault="004B779A" w:rsidP="00593EB4">
            <w:pPr>
              <w:rPr>
                <w:rFonts w:cs="Arial"/>
                <w:b/>
                <w:bCs/>
                <w:color w:val="FFFFFF" w:themeColor="background1"/>
                <w:lang w:eastAsia="en-GB"/>
              </w:rPr>
            </w:pPr>
          </w:p>
        </w:tc>
        <w:tc>
          <w:tcPr>
            <w:tcW w:w="440" w:type="pct"/>
            <w:tcBorders>
              <w:top w:val="single" w:sz="8" w:space="0" w:color="9BBB59"/>
              <w:left w:val="nil"/>
              <w:bottom w:val="nil"/>
              <w:right w:val="nil"/>
            </w:tcBorders>
            <w:shd w:val="clear" w:color="auto" w:fill="9BBB59"/>
            <w:tcMar>
              <w:top w:w="0" w:type="dxa"/>
              <w:left w:w="108" w:type="dxa"/>
              <w:bottom w:w="0" w:type="dxa"/>
              <w:right w:w="108" w:type="dxa"/>
            </w:tcMar>
          </w:tcPr>
          <w:p w:rsidR="004B779A" w:rsidRPr="009340AA" w:rsidRDefault="004B779A" w:rsidP="00593EB4">
            <w:pPr>
              <w:rPr>
                <w:rFonts w:cs="Arial"/>
                <w:b/>
                <w:bCs/>
                <w:color w:val="FFFFFF" w:themeColor="background1"/>
                <w:lang w:eastAsia="en-GB"/>
              </w:rPr>
            </w:pPr>
          </w:p>
        </w:tc>
        <w:tc>
          <w:tcPr>
            <w:tcW w:w="549" w:type="pct"/>
            <w:tcBorders>
              <w:top w:val="single" w:sz="8" w:space="0" w:color="9BBB59"/>
              <w:left w:val="nil"/>
              <w:bottom w:val="nil"/>
              <w:right w:val="nil"/>
            </w:tcBorders>
            <w:shd w:val="clear" w:color="auto" w:fill="9BBB59"/>
            <w:tcMar>
              <w:top w:w="0" w:type="dxa"/>
              <w:left w:w="108" w:type="dxa"/>
              <w:bottom w:w="0" w:type="dxa"/>
              <w:right w:w="108" w:type="dxa"/>
            </w:tcMar>
          </w:tcPr>
          <w:p w:rsidR="004B779A" w:rsidRPr="009340AA" w:rsidRDefault="004B779A" w:rsidP="00593EB4">
            <w:pPr>
              <w:rPr>
                <w:rFonts w:cs="Arial"/>
                <w:b/>
                <w:bCs/>
                <w:color w:val="FFFFFF" w:themeColor="background1"/>
                <w:lang w:eastAsia="en-GB"/>
              </w:rPr>
            </w:pPr>
          </w:p>
        </w:tc>
        <w:tc>
          <w:tcPr>
            <w:tcW w:w="478" w:type="pct"/>
            <w:tcBorders>
              <w:top w:val="single" w:sz="8" w:space="0" w:color="9BBB59"/>
              <w:left w:val="nil"/>
              <w:bottom w:val="nil"/>
              <w:right w:val="nil"/>
            </w:tcBorders>
            <w:shd w:val="clear" w:color="auto" w:fill="9BBB59"/>
            <w:tcMar>
              <w:top w:w="0" w:type="dxa"/>
              <w:left w:w="108" w:type="dxa"/>
              <w:bottom w:w="0" w:type="dxa"/>
              <w:right w:w="108" w:type="dxa"/>
            </w:tcMar>
          </w:tcPr>
          <w:p w:rsidR="004B779A" w:rsidRPr="009340AA" w:rsidRDefault="004B779A" w:rsidP="00593EB4">
            <w:pPr>
              <w:rPr>
                <w:rFonts w:cs="Arial"/>
                <w:b/>
                <w:bCs/>
                <w:color w:val="FFFFFF" w:themeColor="background1"/>
                <w:lang w:eastAsia="en-GB"/>
              </w:rPr>
            </w:pPr>
          </w:p>
        </w:tc>
        <w:tc>
          <w:tcPr>
            <w:tcW w:w="676" w:type="pct"/>
            <w:tcBorders>
              <w:top w:val="single" w:sz="8" w:space="0" w:color="9BBB59"/>
              <w:left w:val="nil"/>
              <w:bottom w:val="nil"/>
              <w:right w:val="nil"/>
            </w:tcBorders>
            <w:shd w:val="clear" w:color="auto" w:fill="9BBB59"/>
            <w:tcMar>
              <w:top w:w="0" w:type="dxa"/>
              <w:left w:w="108" w:type="dxa"/>
              <w:bottom w:w="0" w:type="dxa"/>
              <w:right w:w="108" w:type="dxa"/>
            </w:tcMar>
          </w:tcPr>
          <w:p w:rsidR="004B779A" w:rsidRPr="009340AA" w:rsidRDefault="004B779A" w:rsidP="00593EB4">
            <w:pPr>
              <w:rPr>
                <w:rFonts w:cs="Arial"/>
                <w:b/>
                <w:bCs/>
                <w:color w:val="FFFFFF" w:themeColor="background1"/>
                <w:lang w:eastAsia="en-GB"/>
              </w:rPr>
            </w:pPr>
          </w:p>
        </w:tc>
        <w:tc>
          <w:tcPr>
            <w:tcW w:w="466" w:type="pct"/>
            <w:tcBorders>
              <w:top w:val="single" w:sz="8" w:space="0" w:color="9BBB59"/>
              <w:left w:val="nil"/>
              <w:bottom w:val="nil"/>
              <w:right w:val="nil"/>
            </w:tcBorders>
            <w:shd w:val="clear" w:color="auto" w:fill="9BBB59"/>
            <w:tcMar>
              <w:top w:w="0" w:type="dxa"/>
              <w:left w:w="108" w:type="dxa"/>
              <w:bottom w:w="0" w:type="dxa"/>
              <w:right w:w="108" w:type="dxa"/>
            </w:tcMar>
          </w:tcPr>
          <w:p w:rsidR="004B779A" w:rsidRPr="009340AA" w:rsidRDefault="004B779A" w:rsidP="00593EB4">
            <w:pPr>
              <w:rPr>
                <w:rFonts w:cs="Arial"/>
                <w:b/>
                <w:bCs/>
                <w:color w:val="FFFFFF" w:themeColor="background1"/>
                <w:lang w:eastAsia="en-GB"/>
              </w:rPr>
            </w:pPr>
          </w:p>
        </w:tc>
        <w:tc>
          <w:tcPr>
            <w:tcW w:w="567" w:type="pct"/>
            <w:tcBorders>
              <w:top w:val="single" w:sz="8" w:space="0" w:color="9BBB59"/>
              <w:left w:val="nil"/>
              <w:bottom w:val="nil"/>
              <w:right w:val="nil"/>
            </w:tcBorders>
            <w:shd w:val="clear" w:color="auto" w:fill="9BBB59"/>
            <w:tcMar>
              <w:top w:w="0" w:type="dxa"/>
              <w:left w:w="108" w:type="dxa"/>
              <w:bottom w:w="0" w:type="dxa"/>
              <w:right w:w="108" w:type="dxa"/>
            </w:tcMar>
          </w:tcPr>
          <w:p w:rsidR="004B779A" w:rsidRPr="009340AA" w:rsidRDefault="004B779A" w:rsidP="00593EB4">
            <w:pPr>
              <w:rPr>
                <w:rFonts w:cs="Arial"/>
                <w:b/>
                <w:bCs/>
                <w:color w:val="FFFFFF" w:themeColor="background1"/>
                <w:lang w:eastAsia="en-GB"/>
              </w:rPr>
            </w:pPr>
          </w:p>
        </w:tc>
        <w:tc>
          <w:tcPr>
            <w:tcW w:w="740" w:type="pct"/>
            <w:tcBorders>
              <w:top w:val="single" w:sz="8" w:space="0" w:color="9BBB59"/>
              <w:left w:val="nil"/>
              <w:bottom w:val="nil"/>
              <w:right w:val="nil"/>
            </w:tcBorders>
            <w:shd w:val="clear" w:color="auto" w:fill="9BBB59"/>
            <w:tcMar>
              <w:top w:w="0" w:type="dxa"/>
              <w:left w:w="108" w:type="dxa"/>
              <w:bottom w:w="0" w:type="dxa"/>
              <w:right w:w="108" w:type="dxa"/>
            </w:tcMar>
          </w:tcPr>
          <w:p w:rsidR="004B779A" w:rsidRPr="009340AA" w:rsidRDefault="004B779A" w:rsidP="00593EB4">
            <w:pPr>
              <w:rPr>
                <w:rFonts w:cs="Arial"/>
                <w:b/>
                <w:bCs/>
                <w:color w:val="FFFFFF" w:themeColor="background1"/>
                <w:lang w:eastAsia="en-GB"/>
              </w:rPr>
            </w:pPr>
          </w:p>
        </w:tc>
        <w:tc>
          <w:tcPr>
            <w:tcW w:w="357" w:type="pct"/>
            <w:tcBorders>
              <w:top w:val="single" w:sz="8" w:space="0" w:color="9BBB59"/>
              <w:left w:val="nil"/>
              <w:bottom w:val="nil"/>
              <w:right w:val="single" w:sz="8" w:space="0" w:color="9BBB59"/>
            </w:tcBorders>
            <w:shd w:val="clear" w:color="auto" w:fill="9BBB59"/>
            <w:tcMar>
              <w:top w:w="0" w:type="dxa"/>
              <w:left w:w="108" w:type="dxa"/>
              <w:bottom w:w="0" w:type="dxa"/>
              <w:right w:w="108" w:type="dxa"/>
            </w:tcMar>
          </w:tcPr>
          <w:p w:rsidR="004B779A" w:rsidRPr="009340AA" w:rsidRDefault="004B779A" w:rsidP="00593EB4">
            <w:pPr>
              <w:rPr>
                <w:rFonts w:cs="Arial"/>
                <w:b/>
                <w:bCs/>
                <w:color w:val="FFFFFF" w:themeColor="background1"/>
                <w:lang w:eastAsia="en-GB"/>
              </w:rPr>
            </w:pPr>
          </w:p>
        </w:tc>
      </w:tr>
      <w:tr w:rsidR="009340AA" w:rsidRPr="009340AA" w:rsidTr="00035C86">
        <w:trPr>
          <w:trHeight w:val="478"/>
        </w:trPr>
        <w:tc>
          <w:tcPr>
            <w:tcW w:w="713" w:type="pct"/>
            <w:tcBorders>
              <w:top w:val="single" w:sz="8" w:space="0" w:color="9BBB59"/>
              <w:left w:val="single" w:sz="8" w:space="0" w:color="9BBB59"/>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Counts of Individuals by Ethnicity</w:t>
            </w:r>
          </w:p>
        </w:tc>
        <w:tc>
          <w:tcPr>
            <w:tcW w:w="3" w:type="pct"/>
            <w:tcBorders>
              <w:top w:val="single" w:sz="8" w:space="0" w:color="9BBB59"/>
              <w:left w:val="nil"/>
              <w:bottom w:val="nil"/>
              <w:right w:val="nil"/>
            </w:tcBorders>
            <w:shd w:val="clear" w:color="auto" w:fill="9BBB59"/>
          </w:tcPr>
          <w:p w:rsidR="009B209E" w:rsidRPr="009340AA" w:rsidRDefault="009B209E" w:rsidP="00593EB4">
            <w:pPr>
              <w:rPr>
                <w:rFonts w:cs="Arial"/>
                <w:b/>
                <w:bCs/>
                <w:color w:val="FFFFFF" w:themeColor="background1"/>
                <w:lang w:eastAsia="en-GB"/>
              </w:rPr>
            </w:pPr>
          </w:p>
        </w:tc>
        <w:tc>
          <w:tcPr>
            <w:tcW w:w="3" w:type="pct"/>
            <w:tcBorders>
              <w:top w:val="single" w:sz="8" w:space="0" w:color="9BBB59"/>
              <w:left w:val="nil"/>
              <w:bottom w:val="nil"/>
              <w:right w:val="nil"/>
            </w:tcBorders>
            <w:shd w:val="clear" w:color="auto" w:fill="9BBB59"/>
          </w:tcPr>
          <w:p w:rsidR="009B209E" w:rsidRPr="009340AA" w:rsidRDefault="009B209E" w:rsidP="00593EB4">
            <w:pPr>
              <w:rPr>
                <w:rFonts w:cs="Arial"/>
                <w:b/>
                <w:bCs/>
                <w:color w:val="FFFFFF" w:themeColor="background1"/>
                <w:lang w:eastAsia="en-GB"/>
              </w:rPr>
            </w:pPr>
          </w:p>
        </w:tc>
        <w:tc>
          <w:tcPr>
            <w:tcW w:w="3" w:type="pct"/>
            <w:tcBorders>
              <w:top w:val="single" w:sz="8" w:space="0" w:color="9BBB59"/>
              <w:left w:val="nil"/>
              <w:bottom w:val="nil"/>
              <w:right w:val="nil"/>
            </w:tcBorders>
            <w:shd w:val="clear" w:color="auto" w:fill="9BBB59"/>
          </w:tcPr>
          <w:p w:rsidR="009B209E" w:rsidRPr="009340AA" w:rsidRDefault="009B209E" w:rsidP="00593EB4">
            <w:pPr>
              <w:rPr>
                <w:rFonts w:cs="Arial"/>
                <w:b/>
                <w:bCs/>
                <w:color w:val="FFFFFF" w:themeColor="background1"/>
                <w:lang w:eastAsia="en-GB"/>
              </w:rPr>
            </w:pPr>
          </w:p>
        </w:tc>
        <w:tc>
          <w:tcPr>
            <w:tcW w:w="3" w:type="pct"/>
            <w:tcBorders>
              <w:top w:val="single" w:sz="8" w:space="0" w:color="9BBB59"/>
              <w:left w:val="nil"/>
              <w:bottom w:val="nil"/>
              <w:right w:val="nil"/>
            </w:tcBorders>
            <w:shd w:val="clear" w:color="auto" w:fill="9BBB59"/>
          </w:tcPr>
          <w:p w:rsidR="009B209E" w:rsidRPr="009340AA" w:rsidRDefault="009B209E" w:rsidP="00593EB4">
            <w:pPr>
              <w:rPr>
                <w:rFonts w:cs="Arial"/>
                <w:b/>
                <w:bCs/>
                <w:color w:val="FFFFFF" w:themeColor="background1"/>
                <w:lang w:eastAsia="en-GB"/>
              </w:rPr>
            </w:pPr>
          </w:p>
        </w:tc>
        <w:tc>
          <w:tcPr>
            <w:tcW w:w="440"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White</w:t>
            </w:r>
          </w:p>
        </w:tc>
        <w:tc>
          <w:tcPr>
            <w:tcW w:w="549"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Mixed / Multiple</w:t>
            </w:r>
          </w:p>
        </w:tc>
        <w:tc>
          <w:tcPr>
            <w:tcW w:w="478"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Asian / Asian British</w:t>
            </w:r>
          </w:p>
        </w:tc>
        <w:tc>
          <w:tcPr>
            <w:tcW w:w="676"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Black / African / Caribbean / Black British</w:t>
            </w:r>
          </w:p>
        </w:tc>
        <w:tc>
          <w:tcPr>
            <w:tcW w:w="466"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Other Ethnic Group</w:t>
            </w:r>
          </w:p>
        </w:tc>
        <w:tc>
          <w:tcPr>
            <w:tcW w:w="567"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Refused</w:t>
            </w:r>
          </w:p>
        </w:tc>
        <w:tc>
          <w:tcPr>
            <w:tcW w:w="740"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Undeclared / Not Known</w:t>
            </w:r>
          </w:p>
        </w:tc>
        <w:tc>
          <w:tcPr>
            <w:tcW w:w="357" w:type="pct"/>
            <w:tcBorders>
              <w:top w:val="single" w:sz="8" w:space="0" w:color="9BBB59"/>
              <w:left w:val="nil"/>
              <w:bottom w:val="nil"/>
              <w:right w:val="single" w:sz="8" w:space="0" w:color="9BBB59"/>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Total</w:t>
            </w:r>
          </w:p>
        </w:tc>
      </w:tr>
      <w:tr w:rsidR="004B779A" w:rsidRPr="009340AA" w:rsidTr="00035C86">
        <w:trPr>
          <w:trHeight w:val="236"/>
        </w:trPr>
        <w:tc>
          <w:tcPr>
            <w:tcW w:w="713" w:type="pct"/>
            <w:tcBorders>
              <w:top w:val="single" w:sz="8" w:space="0" w:color="9BBB59"/>
              <w:left w:val="single" w:sz="8" w:space="0" w:color="9BBB59"/>
              <w:bottom w:val="nil"/>
              <w:right w:val="nil"/>
            </w:tcBorders>
            <w:tcMar>
              <w:top w:w="0" w:type="dxa"/>
              <w:left w:w="108" w:type="dxa"/>
              <w:bottom w:w="0" w:type="dxa"/>
              <w:right w:w="108" w:type="dxa"/>
            </w:tcMar>
            <w:hideMark/>
          </w:tcPr>
          <w:p w:rsidR="009B209E" w:rsidRPr="009340AA" w:rsidRDefault="009B209E" w:rsidP="00593EB4">
            <w:pPr>
              <w:rPr>
                <w:rFonts w:cs="Arial"/>
                <w:lang w:eastAsia="en-GB"/>
              </w:rPr>
            </w:pPr>
            <w:r w:rsidRPr="009340AA">
              <w:rPr>
                <w:rFonts w:cs="Arial"/>
                <w:lang w:eastAsia="en-GB"/>
              </w:rPr>
              <w:t>Concerns</w:t>
            </w: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440"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370</w:t>
            </w:r>
          </w:p>
        </w:tc>
        <w:tc>
          <w:tcPr>
            <w:tcW w:w="549"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5</w:t>
            </w:r>
          </w:p>
        </w:tc>
        <w:tc>
          <w:tcPr>
            <w:tcW w:w="478"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6</w:t>
            </w:r>
          </w:p>
        </w:tc>
        <w:tc>
          <w:tcPr>
            <w:tcW w:w="676"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22</w:t>
            </w:r>
          </w:p>
        </w:tc>
        <w:tc>
          <w:tcPr>
            <w:tcW w:w="466"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7</w:t>
            </w:r>
          </w:p>
        </w:tc>
        <w:tc>
          <w:tcPr>
            <w:tcW w:w="567"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4</w:t>
            </w:r>
          </w:p>
        </w:tc>
        <w:tc>
          <w:tcPr>
            <w:tcW w:w="740"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27</w:t>
            </w:r>
          </w:p>
        </w:tc>
        <w:tc>
          <w:tcPr>
            <w:tcW w:w="357" w:type="pct"/>
            <w:tcBorders>
              <w:top w:val="single" w:sz="8" w:space="0" w:color="9BBB59"/>
              <w:left w:val="nil"/>
              <w:bottom w:val="nil"/>
              <w:right w:val="single" w:sz="8" w:space="0" w:color="9BBB59"/>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441</w:t>
            </w:r>
          </w:p>
        </w:tc>
      </w:tr>
      <w:tr w:rsidR="004B779A" w:rsidRPr="009340AA" w:rsidTr="00035C86">
        <w:trPr>
          <w:trHeight w:val="141"/>
        </w:trPr>
        <w:tc>
          <w:tcPr>
            <w:tcW w:w="713" w:type="pct"/>
            <w:tcBorders>
              <w:top w:val="single" w:sz="8" w:space="0" w:color="9BBB59"/>
              <w:left w:val="single" w:sz="8" w:space="0" w:color="9BBB59"/>
              <w:bottom w:val="nil"/>
              <w:right w:val="nil"/>
            </w:tcBorders>
            <w:tcMar>
              <w:top w:w="0" w:type="dxa"/>
              <w:left w:w="108" w:type="dxa"/>
              <w:bottom w:w="0" w:type="dxa"/>
              <w:right w:w="108" w:type="dxa"/>
            </w:tcMar>
            <w:hideMark/>
          </w:tcPr>
          <w:p w:rsidR="009B209E" w:rsidRPr="009340AA" w:rsidRDefault="009B209E" w:rsidP="00593EB4">
            <w:pPr>
              <w:rPr>
                <w:rFonts w:cs="Arial"/>
                <w:lang w:eastAsia="en-GB"/>
              </w:rPr>
            </w:pPr>
            <w:r w:rsidRPr="009340AA">
              <w:rPr>
                <w:rFonts w:cs="Arial"/>
                <w:lang w:eastAsia="en-GB"/>
              </w:rPr>
              <w:t xml:space="preserve">Enquiries </w:t>
            </w: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440"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158</w:t>
            </w:r>
          </w:p>
        </w:tc>
        <w:tc>
          <w:tcPr>
            <w:tcW w:w="549"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1</w:t>
            </w:r>
          </w:p>
        </w:tc>
        <w:tc>
          <w:tcPr>
            <w:tcW w:w="478"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3</w:t>
            </w:r>
          </w:p>
        </w:tc>
        <w:tc>
          <w:tcPr>
            <w:tcW w:w="676"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9</w:t>
            </w:r>
          </w:p>
        </w:tc>
        <w:tc>
          <w:tcPr>
            <w:tcW w:w="466"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4</w:t>
            </w:r>
          </w:p>
        </w:tc>
        <w:tc>
          <w:tcPr>
            <w:tcW w:w="567"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2</w:t>
            </w:r>
          </w:p>
        </w:tc>
        <w:tc>
          <w:tcPr>
            <w:tcW w:w="740" w:type="pct"/>
            <w:tcBorders>
              <w:top w:val="single" w:sz="8" w:space="0" w:color="9BBB59"/>
              <w:left w:val="nil"/>
              <w:bottom w:val="nil"/>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10</w:t>
            </w:r>
          </w:p>
        </w:tc>
        <w:tc>
          <w:tcPr>
            <w:tcW w:w="357" w:type="pct"/>
            <w:tcBorders>
              <w:top w:val="single" w:sz="8" w:space="0" w:color="9BBB59"/>
              <w:left w:val="nil"/>
              <w:bottom w:val="nil"/>
              <w:right w:val="single" w:sz="8" w:space="0" w:color="9BBB59"/>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187</w:t>
            </w:r>
          </w:p>
        </w:tc>
      </w:tr>
      <w:tr w:rsidR="004B779A" w:rsidRPr="009340AA" w:rsidTr="00035C86">
        <w:trPr>
          <w:trHeight w:val="236"/>
        </w:trPr>
        <w:tc>
          <w:tcPr>
            <w:tcW w:w="713" w:type="pct"/>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rsidR="009B209E" w:rsidRPr="009340AA" w:rsidRDefault="009B209E" w:rsidP="00593EB4">
            <w:pPr>
              <w:rPr>
                <w:rFonts w:cs="Arial"/>
                <w:lang w:eastAsia="en-GB"/>
              </w:rPr>
            </w:pPr>
            <w:r w:rsidRPr="009340AA">
              <w:rPr>
                <w:rFonts w:cs="Arial"/>
                <w:lang w:eastAsia="en-GB"/>
              </w:rPr>
              <w:t>Total</w:t>
            </w:r>
          </w:p>
        </w:tc>
        <w:tc>
          <w:tcPr>
            <w:tcW w:w="3" w:type="pct"/>
            <w:tcBorders>
              <w:top w:val="single" w:sz="8" w:space="0" w:color="9BBB59"/>
              <w:left w:val="nil"/>
              <w:bottom w:val="single" w:sz="8" w:space="0" w:color="9BBB59"/>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single" w:sz="8" w:space="0" w:color="9BBB59"/>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single" w:sz="8" w:space="0" w:color="9BBB59"/>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single" w:sz="8" w:space="0" w:color="9BBB59"/>
              <w:right w:val="nil"/>
            </w:tcBorders>
          </w:tcPr>
          <w:p w:rsidR="009B209E" w:rsidRPr="009340AA" w:rsidRDefault="009B209E" w:rsidP="00593EB4">
            <w:pPr>
              <w:jc w:val="center"/>
              <w:rPr>
                <w:rFonts w:cs="Arial"/>
                <w:lang w:eastAsia="en-GB"/>
              </w:rPr>
            </w:pPr>
          </w:p>
        </w:tc>
        <w:tc>
          <w:tcPr>
            <w:tcW w:w="440" w:type="pct"/>
            <w:tcBorders>
              <w:top w:val="single" w:sz="8" w:space="0" w:color="9BBB59"/>
              <w:left w:val="nil"/>
              <w:bottom w:val="single" w:sz="8" w:space="0" w:color="9BBB59"/>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528</w:t>
            </w:r>
          </w:p>
        </w:tc>
        <w:tc>
          <w:tcPr>
            <w:tcW w:w="549" w:type="pct"/>
            <w:tcBorders>
              <w:top w:val="single" w:sz="8" w:space="0" w:color="9BBB59"/>
              <w:left w:val="nil"/>
              <w:bottom w:val="single" w:sz="8" w:space="0" w:color="9BBB59"/>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6</w:t>
            </w:r>
          </w:p>
        </w:tc>
        <w:tc>
          <w:tcPr>
            <w:tcW w:w="478" w:type="pct"/>
            <w:tcBorders>
              <w:top w:val="single" w:sz="8" w:space="0" w:color="9BBB59"/>
              <w:left w:val="nil"/>
              <w:bottom w:val="single" w:sz="8" w:space="0" w:color="9BBB59"/>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9</w:t>
            </w:r>
          </w:p>
        </w:tc>
        <w:tc>
          <w:tcPr>
            <w:tcW w:w="676" w:type="pct"/>
            <w:tcBorders>
              <w:top w:val="single" w:sz="8" w:space="0" w:color="9BBB59"/>
              <w:left w:val="nil"/>
              <w:bottom w:val="single" w:sz="8" w:space="0" w:color="9BBB59"/>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31</w:t>
            </w:r>
          </w:p>
        </w:tc>
        <w:tc>
          <w:tcPr>
            <w:tcW w:w="466" w:type="pct"/>
            <w:tcBorders>
              <w:top w:val="single" w:sz="8" w:space="0" w:color="9BBB59"/>
              <w:left w:val="nil"/>
              <w:bottom w:val="single" w:sz="8" w:space="0" w:color="9BBB59"/>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11</w:t>
            </w:r>
          </w:p>
        </w:tc>
        <w:tc>
          <w:tcPr>
            <w:tcW w:w="567" w:type="pct"/>
            <w:tcBorders>
              <w:top w:val="single" w:sz="8" w:space="0" w:color="9BBB59"/>
              <w:left w:val="nil"/>
              <w:bottom w:val="single" w:sz="8" w:space="0" w:color="9BBB59"/>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6</w:t>
            </w:r>
          </w:p>
        </w:tc>
        <w:tc>
          <w:tcPr>
            <w:tcW w:w="740" w:type="pct"/>
            <w:tcBorders>
              <w:top w:val="single" w:sz="8" w:space="0" w:color="9BBB59"/>
              <w:left w:val="nil"/>
              <w:bottom w:val="single" w:sz="8" w:space="0" w:color="9BBB59"/>
              <w:right w:val="nil"/>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37</w:t>
            </w:r>
          </w:p>
        </w:tc>
        <w:tc>
          <w:tcPr>
            <w:tcW w:w="357" w:type="pct"/>
            <w:tcBorders>
              <w:top w:val="single" w:sz="8" w:space="0" w:color="9BBB59"/>
              <w:left w:val="nil"/>
              <w:bottom w:val="single" w:sz="8" w:space="0" w:color="9BBB59"/>
              <w:right w:val="single" w:sz="8" w:space="0" w:color="9BBB59"/>
            </w:tcBorders>
            <w:tcMar>
              <w:top w:w="0" w:type="dxa"/>
              <w:left w:w="108" w:type="dxa"/>
              <w:bottom w:w="0" w:type="dxa"/>
              <w:right w:w="108" w:type="dxa"/>
            </w:tcMar>
            <w:hideMark/>
          </w:tcPr>
          <w:p w:rsidR="009B209E" w:rsidRPr="009340AA" w:rsidRDefault="009B209E" w:rsidP="00593EB4">
            <w:pPr>
              <w:jc w:val="center"/>
              <w:rPr>
                <w:rFonts w:cs="Arial"/>
                <w:lang w:eastAsia="en-GB"/>
              </w:rPr>
            </w:pPr>
            <w:r w:rsidRPr="009340AA">
              <w:rPr>
                <w:rFonts w:cs="Arial"/>
                <w:lang w:eastAsia="en-GB"/>
              </w:rPr>
              <w:t>628</w:t>
            </w:r>
          </w:p>
        </w:tc>
      </w:tr>
      <w:tr w:rsidR="004B779A" w:rsidRPr="009340AA" w:rsidTr="00035C86">
        <w:trPr>
          <w:trHeight w:val="124"/>
        </w:trPr>
        <w:tc>
          <w:tcPr>
            <w:tcW w:w="713" w:type="pct"/>
            <w:noWrap/>
            <w:tcMar>
              <w:top w:w="0" w:type="dxa"/>
              <w:left w:w="108" w:type="dxa"/>
              <w:bottom w:w="0" w:type="dxa"/>
              <w:right w:w="108" w:type="dxa"/>
            </w:tcMar>
            <w:hideMark/>
          </w:tcPr>
          <w:p w:rsidR="009B209E" w:rsidRPr="009340AA" w:rsidRDefault="009B209E" w:rsidP="00593EB4">
            <w:pPr>
              <w:rPr>
                <w:rFonts w:eastAsia="Times New Roman" w:cs="Arial"/>
                <w:lang w:eastAsia="en-GB"/>
              </w:rPr>
            </w:pPr>
          </w:p>
        </w:tc>
        <w:tc>
          <w:tcPr>
            <w:tcW w:w="3" w:type="pct"/>
          </w:tcPr>
          <w:p w:rsidR="009B209E" w:rsidRPr="009340AA" w:rsidRDefault="009B209E" w:rsidP="00593EB4">
            <w:pPr>
              <w:rPr>
                <w:rFonts w:eastAsia="Times New Roman" w:cs="Arial"/>
                <w:lang w:eastAsia="en-GB"/>
              </w:rPr>
            </w:pPr>
          </w:p>
        </w:tc>
        <w:tc>
          <w:tcPr>
            <w:tcW w:w="3" w:type="pct"/>
          </w:tcPr>
          <w:p w:rsidR="009B209E" w:rsidRPr="009340AA" w:rsidRDefault="009B209E" w:rsidP="00593EB4">
            <w:pPr>
              <w:rPr>
                <w:rFonts w:eastAsia="Times New Roman" w:cs="Arial"/>
                <w:lang w:eastAsia="en-GB"/>
              </w:rPr>
            </w:pPr>
          </w:p>
        </w:tc>
        <w:tc>
          <w:tcPr>
            <w:tcW w:w="3" w:type="pct"/>
          </w:tcPr>
          <w:p w:rsidR="009B209E" w:rsidRPr="009340AA" w:rsidRDefault="009B209E" w:rsidP="00593EB4">
            <w:pPr>
              <w:rPr>
                <w:rFonts w:eastAsia="Times New Roman" w:cs="Arial"/>
                <w:lang w:eastAsia="en-GB"/>
              </w:rPr>
            </w:pPr>
          </w:p>
        </w:tc>
        <w:tc>
          <w:tcPr>
            <w:tcW w:w="3" w:type="pct"/>
          </w:tcPr>
          <w:p w:rsidR="009B209E" w:rsidRPr="009340AA" w:rsidRDefault="009B209E" w:rsidP="00593EB4">
            <w:pPr>
              <w:rPr>
                <w:rFonts w:eastAsia="Times New Roman" w:cs="Arial"/>
                <w:lang w:eastAsia="en-GB"/>
              </w:rPr>
            </w:pPr>
          </w:p>
        </w:tc>
        <w:tc>
          <w:tcPr>
            <w:tcW w:w="440" w:type="pct"/>
            <w:noWrap/>
            <w:tcMar>
              <w:top w:w="0" w:type="dxa"/>
              <w:left w:w="108" w:type="dxa"/>
              <w:bottom w:w="0" w:type="dxa"/>
              <w:right w:w="108" w:type="dxa"/>
            </w:tcMar>
            <w:hideMark/>
          </w:tcPr>
          <w:p w:rsidR="009B209E" w:rsidRPr="009340AA" w:rsidRDefault="009B209E" w:rsidP="00593EB4">
            <w:pPr>
              <w:rPr>
                <w:rFonts w:eastAsia="Times New Roman" w:cs="Arial"/>
                <w:lang w:eastAsia="en-GB"/>
              </w:rPr>
            </w:pPr>
          </w:p>
        </w:tc>
        <w:tc>
          <w:tcPr>
            <w:tcW w:w="549" w:type="pct"/>
            <w:noWrap/>
            <w:tcMar>
              <w:top w:w="0" w:type="dxa"/>
              <w:left w:w="108" w:type="dxa"/>
              <w:bottom w:w="0" w:type="dxa"/>
              <w:right w:w="108" w:type="dxa"/>
            </w:tcMar>
            <w:hideMark/>
          </w:tcPr>
          <w:p w:rsidR="009B209E" w:rsidRPr="009340AA" w:rsidRDefault="009B209E" w:rsidP="00593EB4">
            <w:pPr>
              <w:rPr>
                <w:rFonts w:eastAsia="Times New Roman" w:cs="Arial"/>
                <w:lang w:eastAsia="en-GB"/>
              </w:rPr>
            </w:pPr>
          </w:p>
        </w:tc>
        <w:tc>
          <w:tcPr>
            <w:tcW w:w="478" w:type="pct"/>
            <w:noWrap/>
            <w:tcMar>
              <w:top w:w="0" w:type="dxa"/>
              <w:left w:w="108" w:type="dxa"/>
              <w:bottom w:w="0" w:type="dxa"/>
              <w:right w:w="108" w:type="dxa"/>
            </w:tcMar>
            <w:hideMark/>
          </w:tcPr>
          <w:p w:rsidR="009B209E" w:rsidRPr="009340AA" w:rsidRDefault="009B209E" w:rsidP="00593EB4">
            <w:pPr>
              <w:rPr>
                <w:rFonts w:eastAsia="Times New Roman" w:cs="Arial"/>
                <w:lang w:eastAsia="en-GB"/>
              </w:rPr>
            </w:pPr>
          </w:p>
        </w:tc>
        <w:tc>
          <w:tcPr>
            <w:tcW w:w="676" w:type="pct"/>
            <w:noWrap/>
            <w:tcMar>
              <w:top w:w="0" w:type="dxa"/>
              <w:left w:w="108" w:type="dxa"/>
              <w:bottom w:w="0" w:type="dxa"/>
              <w:right w:w="108" w:type="dxa"/>
            </w:tcMar>
            <w:hideMark/>
          </w:tcPr>
          <w:p w:rsidR="009B209E" w:rsidRPr="009340AA" w:rsidRDefault="009B209E" w:rsidP="00593EB4">
            <w:pPr>
              <w:rPr>
                <w:rFonts w:eastAsia="Times New Roman" w:cs="Arial"/>
                <w:lang w:eastAsia="en-GB"/>
              </w:rPr>
            </w:pPr>
          </w:p>
        </w:tc>
        <w:tc>
          <w:tcPr>
            <w:tcW w:w="466" w:type="pct"/>
            <w:noWrap/>
            <w:tcMar>
              <w:top w:w="0" w:type="dxa"/>
              <w:left w:w="108" w:type="dxa"/>
              <w:bottom w:w="0" w:type="dxa"/>
              <w:right w:w="108" w:type="dxa"/>
            </w:tcMar>
            <w:hideMark/>
          </w:tcPr>
          <w:p w:rsidR="009B209E" w:rsidRPr="009340AA" w:rsidRDefault="009B209E" w:rsidP="00593EB4">
            <w:pPr>
              <w:rPr>
                <w:rFonts w:eastAsia="Times New Roman" w:cs="Arial"/>
                <w:lang w:eastAsia="en-GB"/>
              </w:rPr>
            </w:pPr>
          </w:p>
        </w:tc>
        <w:tc>
          <w:tcPr>
            <w:tcW w:w="567" w:type="pct"/>
            <w:noWrap/>
            <w:tcMar>
              <w:top w:w="0" w:type="dxa"/>
              <w:left w:w="108" w:type="dxa"/>
              <w:bottom w:w="0" w:type="dxa"/>
              <w:right w:w="108" w:type="dxa"/>
            </w:tcMar>
            <w:hideMark/>
          </w:tcPr>
          <w:p w:rsidR="009B209E" w:rsidRPr="009340AA" w:rsidRDefault="009B209E" w:rsidP="00593EB4">
            <w:pPr>
              <w:rPr>
                <w:rFonts w:eastAsia="Times New Roman" w:cs="Arial"/>
                <w:lang w:eastAsia="en-GB"/>
              </w:rPr>
            </w:pPr>
          </w:p>
        </w:tc>
        <w:tc>
          <w:tcPr>
            <w:tcW w:w="740" w:type="pct"/>
            <w:noWrap/>
            <w:tcMar>
              <w:top w:w="0" w:type="dxa"/>
              <w:left w:w="108" w:type="dxa"/>
              <w:bottom w:w="0" w:type="dxa"/>
              <w:right w:w="108" w:type="dxa"/>
            </w:tcMar>
            <w:hideMark/>
          </w:tcPr>
          <w:p w:rsidR="009B209E" w:rsidRPr="009340AA" w:rsidRDefault="009B209E" w:rsidP="00593EB4">
            <w:pPr>
              <w:rPr>
                <w:rFonts w:eastAsia="Times New Roman" w:cs="Arial"/>
                <w:lang w:eastAsia="en-GB"/>
              </w:rPr>
            </w:pPr>
          </w:p>
        </w:tc>
        <w:tc>
          <w:tcPr>
            <w:tcW w:w="357" w:type="pct"/>
            <w:noWrap/>
            <w:tcMar>
              <w:top w:w="0" w:type="dxa"/>
              <w:left w:w="108" w:type="dxa"/>
              <w:bottom w:w="0" w:type="dxa"/>
              <w:right w:w="108" w:type="dxa"/>
            </w:tcMar>
            <w:hideMark/>
          </w:tcPr>
          <w:p w:rsidR="009B209E" w:rsidRPr="009340AA" w:rsidRDefault="009B209E" w:rsidP="00593EB4">
            <w:pPr>
              <w:rPr>
                <w:rFonts w:eastAsia="Times New Roman" w:cs="Arial"/>
                <w:lang w:eastAsia="en-GB"/>
              </w:rPr>
            </w:pPr>
          </w:p>
        </w:tc>
      </w:tr>
      <w:tr w:rsidR="009340AA" w:rsidRPr="009340AA" w:rsidTr="00035C86">
        <w:trPr>
          <w:trHeight w:val="478"/>
        </w:trPr>
        <w:tc>
          <w:tcPr>
            <w:tcW w:w="713" w:type="pct"/>
            <w:tcBorders>
              <w:top w:val="single" w:sz="8" w:space="0" w:color="9BBB59"/>
              <w:left w:val="single" w:sz="8" w:space="0" w:color="9BBB59"/>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Counts of Individuals by Ethnicity</w:t>
            </w:r>
          </w:p>
        </w:tc>
        <w:tc>
          <w:tcPr>
            <w:tcW w:w="3" w:type="pct"/>
            <w:tcBorders>
              <w:top w:val="single" w:sz="8" w:space="0" w:color="9BBB59"/>
              <w:left w:val="nil"/>
              <w:bottom w:val="nil"/>
              <w:right w:val="nil"/>
            </w:tcBorders>
            <w:shd w:val="clear" w:color="auto" w:fill="9BBB59"/>
          </w:tcPr>
          <w:p w:rsidR="009B209E" w:rsidRPr="009340AA" w:rsidRDefault="009B209E" w:rsidP="00593EB4">
            <w:pPr>
              <w:rPr>
                <w:rFonts w:cs="Arial"/>
                <w:b/>
                <w:bCs/>
                <w:color w:val="FFFFFF" w:themeColor="background1"/>
                <w:lang w:eastAsia="en-GB"/>
              </w:rPr>
            </w:pPr>
          </w:p>
        </w:tc>
        <w:tc>
          <w:tcPr>
            <w:tcW w:w="3" w:type="pct"/>
            <w:tcBorders>
              <w:top w:val="single" w:sz="8" w:space="0" w:color="9BBB59"/>
              <w:left w:val="nil"/>
              <w:bottom w:val="nil"/>
              <w:right w:val="nil"/>
            </w:tcBorders>
            <w:shd w:val="clear" w:color="auto" w:fill="9BBB59"/>
          </w:tcPr>
          <w:p w:rsidR="009B209E" w:rsidRPr="009340AA" w:rsidRDefault="009B209E" w:rsidP="00593EB4">
            <w:pPr>
              <w:rPr>
                <w:rFonts w:cs="Arial"/>
                <w:b/>
                <w:bCs/>
                <w:color w:val="FFFFFF" w:themeColor="background1"/>
                <w:lang w:eastAsia="en-GB"/>
              </w:rPr>
            </w:pPr>
          </w:p>
        </w:tc>
        <w:tc>
          <w:tcPr>
            <w:tcW w:w="3" w:type="pct"/>
            <w:tcBorders>
              <w:top w:val="single" w:sz="8" w:space="0" w:color="9BBB59"/>
              <w:left w:val="nil"/>
              <w:bottom w:val="nil"/>
              <w:right w:val="nil"/>
            </w:tcBorders>
            <w:shd w:val="clear" w:color="auto" w:fill="9BBB59"/>
          </w:tcPr>
          <w:p w:rsidR="009B209E" w:rsidRPr="009340AA" w:rsidRDefault="009B209E" w:rsidP="00593EB4">
            <w:pPr>
              <w:rPr>
                <w:rFonts w:cs="Arial"/>
                <w:b/>
                <w:bCs/>
                <w:color w:val="FFFFFF" w:themeColor="background1"/>
                <w:lang w:eastAsia="en-GB"/>
              </w:rPr>
            </w:pPr>
          </w:p>
        </w:tc>
        <w:tc>
          <w:tcPr>
            <w:tcW w:w="3" w:type="pct"/>
            <w:tcBorders>
              <w:top w:val="single" w:sz="8" w:space="0" w:color="9BBB59"/>
              <w:left w:val="nil"/>
              <w:bottom w:val="nil"/>
              <w:right w:val="nil"/>
            </w:tcBorders>
            <w:shd w:val="clear" w:color="auto" w:fill="9BBB59"/>
          </w:tcPr>
          <w:p w:rsidR="009B209E" w:rsidRPr="009340AA" w:rsidRDefault="009B209E" w:rsidP="00593EB4">
            <w:pPr>
              <w:rPr>
                <w:rFonts w:cs="Arial"/>
                <w:b/>
                <w:bCs/>
                <w:color w:val="FFFFFF" w:themeColor="background1"/>
                <w:lang w:eastAsia="en-GB"/>
              </w:rPr>
            </w:pPr>
          </w:p>
        </w:tc>
        <w:tc>
          <w:tcPr>
            <w:tcW w:w="440"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White</w:t>
            </w:r>
          </w:p>
        </w:tc>
        <w:tc>
          <w:tcPr>
            <w:tcW w:w="549"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Mixed / Multiple</w:t>
            </w:r>
          </w:p>
        </w:tc>
        <w:tc>
          <w:tcPr>
            <w:tcW w:w="478"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Asian / Asian British</w:t>
            </w:r>
          </w:p>
        </w:tc>
        <w:tc>
          <w:tcPr>
            <w:tcW w:w="676"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Black / African / Caribbean / Black British</w:t>
            </w:r>
          </w:p>
        </w:tc>
        <w:tc>
          <w:tcPr>
            <w:tcW w:w="466"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Other Ethnic Group</w:t>
            </w:r>
          </w:p>
        </w:tc>
        <w:tc>
          <w:tcPr>
            <w:tcW w:w="567"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Refused</w:t>
            </w:r>
          </w:p>
        </w:tc>
        <w:tc>
          <w:tcPr>
            <w:tcW w:w="740" w:type="pct"/>
            <w:tcBorders>
              <w:top w:val="single" w:sz="8" w:space="0" w:color="9BBB59"/>
              <w:left w:val="nil"/>
              <w:bottom w:val="nil"/>
              <w:right w:val="nil"/>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Undeclared / Not Known</w:t>
            </w:r>
          </w:p>
        </w:tc>
        <w:tc>
          <w:tcPr>
            <w:tcW w:w="357" w:type="pct"/>
            <w:tcBorders>
              <w:top w:val="single" w:sz="8" w:space="0" w:color="9BBB59"/>
              <w:left w:val="nil"/>
              <w:bottom w:val="nil"/>
              <w:right w:val="single" w:sz="8" w:space="0" w:color="9BBB59"/>
            </w:tcBorders>
            <w:shd w:val="clear" w:color="auto" w:fill="9BBB59"/>
            <w:tcMar>
              <w:top w:w="0" w:type="dxa"/>
              <w:left w:w="108" w:type="dxa"/>
              <w:bottom w:w="0" w:type="dxa"/>
              <w:right w:w="108" w:type="dxa"/>
            </w:tcMar>
            <w:hideMark/>
          </w:tcPr>
          <w:p w:rsidR="009B209E" w:rsidRPr="009340AA" w:rsidRDefault="009B209E" w:rsidP="00593EB4">
            <w:pPr>
              <w:rPr>
                <w:rFonts w:cs="Arial"/>
                <w:b/>
                <w:bCs/>
                <w:color w:val="FFFFFF" w:themeColor="background1"/>
                <w:lang w:eastAsia="en-GB"/>
              </w:rPr>
            </w:pPr>
            <w:r w:rsidRPr="009340AA">
              <w:rPr>
                <w:rFonts w:cs="Arial"/>
                <w:b/>
                <w:bCs/>
                <w:color w:val="FFFFFF" w:themeColor="background1"/>
                <w:lang w:eastAsia="en-GB"/>
              </w:rPr>
              <w:t>Total</w:t>
            </w:r>
          </w:p>
        </w:tc>
      </w:tr>
      <w:tr w:rsidR="004B779A" w:rsidRPr="009340AA" w:rsidTr="00035C86">
        <w:trPr>
          <w:trHeight w:val="478"/>
        </w:trPr>
        <w:tc>
          <w:tcPr>
            <w:tcW w:w="713" w:type="pct"/>
            <w:tcBorders>
              <w:top w:val="single" w:sz="8" w:space="0" w:color="9BBB59"/>
              <w:left w:val="single" w:sz="8" w:space="0" w:color="9BBB59"/>
              <w:bottom w:val="nil"/>
              <w:right w:val="nil"/>
            </w:tcBorders>
            <w:tcMar>
              <w:top w:w="0" w:type="dxa"/>
              <w:left w:w="108" w:type="dxa"/>
              <w:bottom w:w="0" w:type="dxa"/>
              <w:right w:w="108" w:type="dxa"/>
            </w:tcMar>
            <w:hideMark/>
          </w:tcPr>
          <w:p w:rsidR="009B209E" w:rsidRPr="009340AA" w:rsidRDefault="009B209E" w:rsidP="00593EB4">
            <w:pPr>
              <w:rPr>
                <w:rFonts w:cs="Arial"/>
                <w:lang w:eastAsia="en-GB"/>
              </w:rPr>
            </w:pPr>
            <w:r w:rsidRPr="009340AA">
              <w:rPr>
                <w:rFonts w:cs="Arial"/>
                <w:lang w:eastAsia="en-GB"/>
              </w:rPr>
              <w:t>Concerns</w:t>
            </w: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440"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58.9%</w:t>
            </w:r>
          </w:p>
        </w:tc>
        <w:tc>
          <w:tcPr>
            <w:tcW w:w="549"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0.8%</w:t>
            </w:r>
          </w:p>
        </w:tc>
        <w:tc>
          <w:tcPr>
            <w:tcW w:w="478"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1.0%</w:t>
            </w:r>
          </w:p>
        </w:tc>
        <w:tc>
          <w:tcPr>
            <w:tcW w:w="676"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3.5%</w:t>
            </w:r>
          </w:p>
        </w:tc>
        <w:tc>
          <w:tcPr>
            <w:tcW w:w="466"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1.1%</w:t>
            </w:r>
          </w:p>
        </w:tc>
        <w:tc>
          <w:tcPr>
            <w:tcW w:w="567"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0.6%</w:t>
            </w:r>
          </w:p>
        </w:tc>
        <w:tc>
          <w:tcPr>
            <w:tcW w:w="740"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4.3%</w:t>
            </w:r>
          </w:p>
        </w:tc>
        <w:tc>
          <w:tcPr>
            <w:tcW w:w="357" w:type="pct"/>
            <w:tcBorders>
              <w:top w:val="single" w:sz="8" w:space="0" w:color="9BBB59"/>
              <w:left w:val="nil"/>
              <w:bottom w:val="nil"/>
              <w:right w:val="single" w:sz="8" w:space="0" w:color="9BBB59"/>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70.2%</w:t>
            </w:r>
          </w:p>
        </w:tc>
      </w:tr>
      <w:tr w:rsidR="004B779A" w:rsidRPr="009340AA" w:rsidTr="00035C86">
        <w:trPr>
          <w:trHeight w:val="478"/>
        </w:trPr>
        <w:tc>
          <w:tcPr>
            <w:tcW w:w="713" w:type="pct"/>
            <w:tcBorders>
              <w:top w:val="single" w:sz="8" w:space="0" w:color="9BBB59"/>
              <w:left w:val="single" w:sz="8" w:space="0" w:color="9BBB59"/>
              <w:bottom w:val="nil"/>
              <w:right w:val="nil"/>
            </w:tcBorders>
            <w:tcMar>
              <w:top w:w="0" w:type="dxa"/>
              <w:left w:w="108" w:type="dxa"/>
              <w:bottom w:w="0" w:type="dxa"/>
              <w:right w:w="108" w:type="dxa"/>
            </w:tcMar>
            <w:hideMark/>
          </w:tcPr>
          <w:p w:rsidR="009B209E" w:rsidRPr="009340AA" w:rsidRDefault="009B209E" w:rsidP="00593EB4">
            <w:pPr>
              <w:rPr>
                <w:rFonts w:cs="Arial"/>
                <w:lang w:eastAsia="en-GB"/>
              </w:rPr>
            </w:pPr>
            <w:r w:rsidRPr="009340AA">
              <w:rPr>
                <w:rFonts w:cs="Arial"/>
                <w:lang w:eastAsia="en-GB"/>
              </w:rPr>
              <w:t>Enquiries</w:t>
            </w: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nil"/>
              <w:right w:val="nil"/>
            </w:tcBorders>
          </w:tcPr>
          <w:p w:rsidR="009B209E" w:rsidRPr="009340AA" w:rsidRDefault="009B209E" w:rsidP="00593EB4">
            <w:pPr>
              <w:jc w:val="center"/>
              <w:rPr>
                <w:rFonts w:cs="Arial"/>
                <w:lang w:eastAsia="en-GB"/>
              </w:rPr>
            </w:pPr>
          </w:p>
        </w:tc>
        <w:tc>
          <w:tcPr>
            <w:tcW w:w="440"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25.2%</w:t>
            </w:r>
          </w:p>
        </w:tc>
        <w:tc>
          <w:tcPr>
            <w:tcW w:w="549"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0.2%</w:t>
            </w:r>
          </w:p>
        </w:tc>
        <w:tc>
          <w:tcPr>
            <w:tcW w:w="478"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0.5%</w:t>
            </w:r>
          </w:p>
        </w:tc>
        <w:tc>
          <w:tcPr>
            <w:tcW w:w="676"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1.4%</w:t>
            </w:r>
          </w:p>
        </w:tc>
        <w:tc>
          <w:tcPr>
            <w:tcW w:w="466"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0.6%</w:t>
            </w:r>
          </w:p>
        </w:tc>
        <w:tc>
          <w:tcPr>
            <w:tcW w:w="567"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0.3%</w:t>
            </w:r>
          </w:p>
        </w:tc>
        <w:tc>
          <w:tcPr>
            <w:tcW w:w="740" w:type="pct"/>
            <w:tcBorders>
              <w:top w:val="single" w:sz="8" w:space="0" w:color="9BBB59"/>
              <w:left w:val="nil"/>
              <w:bottom w:val="nil"/>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1.6%</w:t>
            </w:r>
          </w:p>
        </w:tc>
        <w:tc>
          <w:tcPr>
            <w:tcW w:w="357" w:type="pct"/>
            <w:tcBorders>
              <w:top w:val="single" w:sz="8" w:space="0" w:color="9BBB59"/>
              <w:left w:val="nil"/>
              <w:bottom w:val="nil"/>
              <w:right w:val="single" w:sz="8" w:space="0" w:color="9BBB59"/>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29.8%</w:t>
            </w:r>
          </w:p>
        </w:tc>
      </w:tr>
      <w:tr w:rsidR="004B779A" w:rsidRPr="009340AA" w:rsidTr="00035C86">
        <w:trPr>
          <w:trHeight w:val="478"/>
        </w:trPr>
        <w:tc>
          <w:tcPr>
            <w:tcW w:w="713" w:type="pct"/>
            <w:tcBorders>
              <w:top w:val="single" w:sz="8" w:space="0" w:color="9BBB59"/>
              <w:left w:val="single" w:sz="8" w:space="0" w:color="9BBB59"/>
              <w:bottom w:val="single" w:sz="8" w:space="0" w:color="9BBB59"/>
              <w:right w:val="nil"/>
            </w:tcBorders>
            <w:tcMar>
              <w:top w:w="0" w:type="dxa"/>
              <w:left w:w="108" w:type="dxa"/>
              <w:bottom w:w="0" w:type="dxa"/>
              <w:right w:w="108" w:type="dxa"/>
            </w:tcMar>
            <w:hideMark/>
          </w:tcPr>
          <w:p w:rsidR="009B209E" w:rsidRPr="009340AA" w:rsidRDefault="009B209E" w:rsidP="00593EB4">
            <w:pPr>
              <w:rPr>
                <w:rFonts w:cs="Arial"/>
                <w:lang w:eastAsia="en-GB"/>
              </w:rPr>
            </w:pPr>
            <w:r w:rsidRPr="009340AA">
              <w:rPr>
                <w:rFonts w:cs="Arial"/>
                <w:lang w:eastAsia="en-GB"/>
              </w:rPr>
              <w:t>Total</w:t>
            </w:r>
          </w:p>
        </w:tc>
        <w:tc>
          <w:tcPr>
            <w:tcW w:w="3" w:type="pct"/>
            <w:tcBorders>
              <w:top w:val="single" w:sz="8" w:space="0" w:color="9BBB59"/>
              <w:left w:val="nil"/>
              <w:bottom w:val="single" w:sz="8" w:space="0" w:color="9BBB59"/>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single" w:sz="8" w:space="0" w:color="9BBB59"/>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single" w:sz="8" w:space="0" w:color="9BBB59"/>
              <w:right w:val="nil"/>
            </w:tcBorders>
          </w:tcPr>
          <w:p w:rsidR="009B209E" w:rsidRPr="009340AA" w:rsidRDefault="009B209E" w:rsidP="00593EB4">
            <w:pPr>
              <w:jc w:val="center"/>
              <w:rPr>
                <w:rFonts w:cs="Arial"/>
                <w:lang w:eastAsia="en-GB"/>
              </w:rPr>
            </w:pPr>
          </w:p>
        </w:tc>
        <w:tc>
          <w:tcPr>
            <w:tcW w:w="3" w:type="pct"/>
            <w:tcBorders>
              <w:top w:val="single" w:sz="8" w:space="0" w:color="9BBB59"/>
              <w:left w:val="nil"/>
              <w:bottom w:val="single" w:sz="8" w:space="0" w:color="9BBB59"/>
              <w:right w:val="nil"/>
            </w:tcBorders>
          </w:tcPr>
          <w:p w:rsidR="009B209E" w:rsidRPr="009340AA" w:rsidRDefault="009B209E" w:rsidP="00593EB4">
            <w:pPr>
              <w:jc w:val="center"/>
              <w:rPr>
                <w:rFonts w:cs="Arial"/>
                <w:lang w:eastAsia="en-GB"/>
              </w:rPr>
            </w:pPr>
          </w:p>
        </w:tc>
        <w:tc>
          <w:tcPr>
            <w:tcW w:w="440" w:type="pct"/>
            <w:tcBorders>
              <w:top w:val="single" w:sz="8" w:space="0" w:color="9BBB59"/>
              <w:left w:val="nil"/>
              <w:bottom w:val="single" w:sz="8" w:space="0" w:color="9BBB59"/>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84.1%</w:t>
            </w:r>
          </w:p>
        </w:tc>
        <w:tc>
          <w:tcPr>
            <w:tcW w:w="549" w:type="pct"/>
            <w:tcBorders>
              <w:top w:val="single" w:sz="8" w:space="0" w:color="9BBB59"/>
              <w:left w:val="nil"/>
              <w:bottom w:val="single" w:sz="8" w:space="0" w:color="9BBB59"/>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1.0%</w:t>
            </w:r>
          </w:p>
        </w:tc>
        <w:tc>
          <w:tcPr>
            <w:tcW w:w="478" w:type="pct"/>
            <w:tcBorders>
              <w:top w:val="single" w:sz="8" w:space="0" w:color="9BBB59"/>
              <w:left w:val="nil"/>
              <w:bottom w:val="single" w:sz="8" w:space="0" w:color="9BBB59"/>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1.4%</w:t>
            </w:r>
          </w:p>
        </w:tc>
        <w:tc>
          <w:tcPr>
            <w:tcW w:w="676" w:type="pct"/>
            <w:tcBorders>
              <w:top w:val="single" w:sz="8" w:space="0" w:color="9BBB59"/>
              <w:left w:val="nil"/>
              <w:bottom w:val="single" w:sz="8" w:space="0" w:color="9BBB59"/>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4.9%</w:t>
            </w:r>
          </w:p>
        </w:tc>
        <w:tc>
          <w:tcPr>
            <w:tcW w:w="466" w:type="pct"/>
            <w:tcBorders>
              <w:top w:val="single" w:sz="8" w:space="0" w:color="9BBB59"/>
              <w:left w:val="nil"/>
              <w:bottom w:val="single" w:sz="8" w:space="0" w:color="9BBB59"/>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1.8%</w:t>
            </w:r>
          </w:p>
        </w:tc>
        <w:tc>
          <w:tcPr>
            <w:tcW w:w="567" w:type="pct"/>
            <w:tcBorders>
              <w:top w:val="single" w:sz="8" w:space="0" w:color="9BBB59"/>
              <w:left w:val="nil"/>
              <w:bottom w:val="single" w:sz="8" w:space="0" w:color="9BBB59"/>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1.0%</w:t>
            </w:r>
          </w:p>
        </w:tc>
        <w:tc>
          <w:tcPr>
            <w:tcW w:w="740" w:type="pct"/>
            <w:tcBorders>
              <w:top w:val="single" w:sz="8" w:space="0" w:color="9BBB59"/>
              <w:left w:val="nil"/>
              <w:bottom w:val="single" w:sz="8" w:space="0" w:color="9BBB59"/>
              <w:right w:val="nil"/>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5.9%</w:t>
            </w:r>
          </w:p>
        </w:tc>
        <w:tc>
          <w:tcPr>
            <w:tcW w:w="357" w:type="pct"/>
            <w:tcBorders>
              <w:top w:val="single" w:sz="8" w:space="0" w:color="9BBB59"/>
              <w:left w:val="nil"/>
              <w:bottom w:val="single" w:sz="8" w:space="0" w:color="9BBB59"/>
              <w:right w:val="single" w:sz="8" w:space="0" w:color="9BBB59"/>
            </w:tcBorders>
            <w:tcMar>
              <w:top w:w="0" w:type="dxa"/>
              <w:left w:w="108" w:type="dxa"/>
              <w:bottom w:w="0" w:type="dxa"/>
              <w:right w:w="108" w:type="dxa"/>
            </w:tcMar>
            <w:vAlign w:val="center"/>
            <w:hideMark/>
          </w:tcPr>
          <w:p w:rsidR="009B209E" w:rsidRPr="009340AA" w:rsidRDefault="009B209E" w:rsidP="00593EB4">
            <w:pPr>
              <w:jc w:val="center"/>
              <w:rPr>
                <w:rFonts w:cs="Arial"/>
                <w:lang w:eastAsia="en-GB"/>
              </w:rPr>
            </w:pPr>
            <w:r w:rsidRPr="009340AA">
              <w:rPr>
                <w:rFonts w:cs="Arial"/>
                <w:lang w:eastAsia="en-GB"/>
              </w:rPr>
              <w:t>100.0%</w:t>
            </w:r>
          </w:p>
        </w:tc>
      </w:tr>
    </w:tbl>
    <w:p w:rsidR="009B209E" w:rsidRPr="004B779A" w:rsidRDefault="009B209E" w:rsidP="009B209E">
      <w:pPr>
        <w:spacing w:after="0"/>
        <w:jc w:val="both"/>
        <w:rPr>
          <w:rFonts w:ascii="Arial" w:hAnsi="Arial" w:cs="Arial"/>
          <w:b/>
        </w:rPr>
      </w:pPr>
      <w:r w:rsidRPr="004B779A">
        <w:rPr>
          <w:rFonts w:ascii="Arial" w:hAnsi="Arial" w:cs="Arial"/>
          <w:b/>
        </w:rPr>
        <w:t xml:space="preserve"> </w:t>
      </w:r>
    </w:p>
    <w:p w:rsidR="009B209E" w:rsidRPr="004B779A" w:rsidRDefault="009B209E" w:rsidP="004B779A">
      <w:pPr>
        <w:spacing w:after="0"/>
        <w:jc w:val="both"/>
        <w:rPr>
          <w:rFonts w:ascii="Arial" w:hAnsi="Arial" w:cs="Arial"/>
          <w:b/>
        </w:rPr>
      </w:pPr>
      <w:r w:rsidRPr="004B779A">
        <w:rPr>
          <w:rFonts w:ascii="Arial" w:hAnsi="Arial" w:cs="Arial"/>
          <w:b/>
        </w:rPr>
        <w:t>Health and Social Care Need</w:t>
      </w:r>
    </w:p>
    <w:p w:rsidR="009B209E" w:rsidRPr="004B779A" w:rsidRDefault="009B209E" w:rsidP="009B209E">
      <w:pPr>
        <w:spacing w:after="0"/>
        <w:jc w:val="both"/>
        <w:rPr>
          <w:rFonts w:ascii="Arial" w:hAnsi="Arial" w:cs="Arial"/>
        </w:rPr>
      </w:pPr>
    </w:p>
    <w:tbl>
      <w:tblPr>
        <w:tblStyle w:val="LightList-Accent3"/>
        <w:tblW w:w="9120" w:type="dxa"/>
        <w:jc w:val="center"/>
        <w:tblInd w:w="-3515" w:type="dxa"/>
        <w:tblLayout w:type="fixed"/>
        <w:tblLook w:val="01E0" w:firstRow="1" w:lastRow="1" w:firstColumn="1" w:lastColumn="1" w:noHBand="0" w:noVBand="0"/>
      </w:tblPr>
      <w:tblGrid>
        <w:gridCol w:w="7216"/>
        <w:gridCol w:w="1904"/>
      </w:tblGrid>
      <w:tr w:rsidR="009340AA" w:rsidRPr="009340AA" w:rsidTr="008E0D7B">
        <w:trPr>
          <w:cnfStyle w:val="100000000000" w:firstRow="1" w:lastRow="0" w:firstColumn="0" w:lastColumn="0" w:oddVBand="0" w:evenVBand="0" w:oddHBand="0" w:evenHBand="0" w:firstRowFirstColumn="0" w:firstRowLastColumn="0" w:lastRowFirstColumn="0" w:lastRowLastColumn="0"/>
          <w:trHeight w:hRule="exact" w:val="1206"/>
          <w:jc w:val="center"/>
        </w:trPr>
        <w:tc>
          <w:tcPr>
            <w:cnfStyle w:val="001000000000" w:firstRow="0" w:lastRow="0" w:firstColumn="1" w:lastColumn="0" w:oddVBand="0" w:evenVBand="0" w:oddHBand="0" w:evenHBand="0" w:firstRowFirstColumn="0" w:firstRowLastColumn="0" w:lastRowFirstColumn="0" w:lastRowLastColumn="0"/>
            <w:tcW w:w="7216" w:type="dxa"/>
          </w:tcPr>
          <w:p w:rsidR="004B779A" w:rsidRPr="009340AA" w:rsidRDefault="004B779A" w:rsidP="00593EB4">
            <w:pPr>
              <w:spacing w:line="266" w:lineRule="exact"/>
              <w:ind w:left="102" w:right="45"/>
              <w:jc w:val="both"/>
              <w:rPr>
                <w:rFonts w:eastAsia="Arial" w:cs="Arial"/>
                <w:bCs w:val="0"/>
              </w:rPr>
            </w:pPr>
          </w:p>
          <w:p w:rsidR="004B779A" w:rsidRPr="009340AA" w:rsidRDefault="004B779A" w:rsidP="004B779A">
            <w:pPr>
              <w:spacing w:line="266" w:lineRule="exact"/>
              <w:ind w:left="102" w:right="45"/>
              <w:rPr>
                <w:rFonts w:eastAsia="Arial" w:cs="Arial"/>
                <w:bCs w:val="0"/>
              </w:rPr>
            </w:pPr>
            <w:r w:rsidRPr="009340AA">
              <w:rPr>
                <w:rFonts w:eastAsia="Arial" w:cs="Arial"/>
                <w:bCs w:val="0"/>
              </w:rPr>
              <w:t>TABLE 6</w:t>
            </w:r>
          </w:p>
          <w:p w:rsidR="009B209E" w:rsidRPr="009340AA" w:rsidRDefault="009B209E" w:rsidP="004B779A">
            <w:pPr>
              <w:spacing w:line="266" w:lineRule="exact"/>
              <w:ind w:left="102" w:right="45"/>
              <w:rPr>
                <w:rFonts w:eastAsia="Arial" w:cs="Arial"/>
              </w:rPr>
            </w:pPr>
            <w:r w:rsidRPr="009340AA">
              <w:rPr>
                <w:rFonts w:eastAsia="Arial" w:cs="Arial"/>
                <w:bCs w:val="0"/>
              </w:rPr>
              <w:t>Co</w:t>
            </w:r>
            <w:r w:rsidRPr="009340AA">
              <w:rPr>
                <w:rFonts w:eastAsia="Arial" w:cs="Arial"/>
                <w:bCs w:val="0"/>
                <w:spacing w:val="-1"/>
              </w:rPr>
              <w:t>n</w:t>
            </w:r>
            <w:r w:rsidRPr="009340AA">
              <w:rPr>
                <w:rFonts w:eastAsia="Arial" w:cs="Arial"/>
                <w:bCs w:val="0"/>
                <w:spacing w:val="1"/>
              </w:rPr>
              <w:t>ce</w:t>
            </w:r>
            <w:r w:rsidR="004B779A" w:rsidRPr="009340AA">
              <w:rPr>
                <w:rFonts w:eastAsia="Arial" w:cs="Arial"/>
                <w:bCs w:val="0"/>
              </w:rPr>
              <w:t xml:space="preserve">rns </w:t>
            </w:r>
            <w:r w:rsidRPr="009340AA">
              <w:rPr>
                <w:rFonts w:eastAsia="Arial" w:cs="Arial"/>
                <w:bCs w:val="0"/>
                <w:spacing w:val="1"/>
              </w:rPr>
              <w:t>a</w:t>
            </w:r>
            <w:r w:rsidRPr="009340AA">
              <w:rPr>
                <w:rFonts w:eastAsia="Arial" w:cs="Arial"/>
                <w:bCs w:val="0"/>
              </w:rPr>
              <w:t>nd</w:t>
            </w:r>
            <w:r w:rsidR="004B779A" w:rsidRPr="009340AA">
              <w:rPr>
                <w:rFonts w:eastAsia="Arial" w:cs="Arial"/>
                <w:bCs w:val="0"/>
              </w:rPr>
              <w:t xml:space="preserve"> </w:t>
            </w:r>
            <w:r w:rsidRPr="009340AA">
              <w:rPr>
                <w:rFonts w:eastAsia="Arial" w:cs="Arial"/>
                <w:bCs w:val="0"/>
              </w:rPr>
              <w:t>r</w:t>
            </w:r>
            <w:r w:rsidRPr="009340AA">
              <w:rPr>
                <w:rFonts w:eastAsia="Arial" w:cs="Arial"/>
                <w:bCs w:val="0"/>
                <w:spacing w:val="1"/>
              </w:rPr>
              <w:t>e</w:t>
            </w:r>
            <w:r w:rsidRPr="009340AA">
              <w:rPr>
                <w:rFonts w:eastAsia="Arial" w:cs="Arial"/>
                <w:bCs w:val="0"/>
              </w:rPr>
              <w:t>ferr</w:t>
            </w:r>
            <w:r w:rsidRPr="009340AA">
              <w:rPr>
                <w:rFonts w:eastAsia="Arial" w:cs="Arial"/>
                <w:bCs w:val="0"/>
                <w:spacing w:val="1"/>
              </w:rPr>
              <w:t>a</w:t>
            </w:r>
            <w:r w:rsidRPr="009340AA">
              <w:rPr>
                <w:rFonts w:eastAsia="Arial" w:cs="Arial"/>
                <w:bCs w:val="0"/>
                <w:spacing w:val="-2"/>
              </w:rPr>
              <w:t>l</w:t>
            </w:r>
            <w:r w:rsidRPr="009340AA">
              <w:rPr>
                <w:rFonts w:eastAsia="Arial" w:cs="Arial"/>
                <w:bCs w:val="0"/>
              </w:rPr>
              <w:t xml:space="preserve">s </w:t>
            </w:r>
            <w:r w:rsidRPr="009340AA">
              <w:rPr>
                <w:rFonts w:eastAsia="Arial" w:cs="Arial"/>
                <w:bCs w:val="0"/>
                <w:spacing w:val="2"/>
              </w:rPr>
              <w:t>b</w:t>
            </w:r>
            <w:r w:rsidR="004B779A" w:rsidRPr="009340AA">
              <w:rPr>
                <w:rFonts w:eastAsia="Arial" w:cs="Arial"/>
                <w:bCs w:val="0"/>
              </w:rPr>
              <w:t xml:space="preserve">y </w:t>
            </w:r>
            <w:r w:rsidRPr="009340AA">
              <w:rPr>
                <w:rFonts w:eastAsia="Arial" w:cs="Arial"/>
                <w:bCs w:val="0"/>
              </w:rPr>
              <w:t>he</w:t>
            </w:r>
            <w:r w:rsidRPr="009340AA">
              <w:rPr>
                <w:rFonts w:eastAsia="Arial" w:cs="Arial"/>
                <w:bCs w:val="0"/>
                <w:spacing w:val="-1"/>
              </w:rPr>
              <w:t>a</w:t>
            </w:r>
            <w:r w:rsidRPr="009340AA">
              <w:rPr>
                <w:rFonts w:eastAsia="Arial" w:cs="Arial"/>
                <w:bCs w:val="0"/>
              </w:rPr>
              <w:t xml:space="preserve">lth or </w:t>
            </w:r>
            <w:r w:rsidRPr="009340AA">
              <w:rPr>
                <w:rFonts w:eastAsia="Arial" w:cs="Arial"/>
                <w:bCs w:val="0"/>
                <w:spacing w:val="1"/>
              </w:rPr>
              <w:t>s</w:t>
            </w:r>
            <w:r w:rsidRPr="009340AA">
              <w:rPr>
                <w:rFonts w:eastAsia="Arial" w:cs="Arial"/>
                <w:bCs w:val="0"/>
              </w:rPr>
              <w:t>oc</w:t>
            </w:r>
            <w:r w:rsidRPr="009340AA">
              <w:rPr>
                <w:rFonts w:eastAsia="Arial" w:cs="Arial"/>
                <w:bCs w:val="0"/>
                <w:spacing w:val="1"/>
              </w:rPr>
              <w:t>ia</w:t>
            </w:r>
            <w:r w:rsidRPr="009340AA">
              <w:rPr>
                <w:rFonts w:eastAsia="Arial" w:cs="Arial"/>
                <w:bCs w:val="0"/>
              </w:rPr>
              <w:t xml:space="preserve">l </w:t>
            </w:r>
            <w:r w:rsidRPr="009340AA">
              <w:rPr>
                <w:rFonts w:eastAsia="Arial" w:cs="Arial"/>
                <w:bCs w:val="0"/>
                <w:spacing w:val="-1"/>
              </w:rPr>
              <w:t>c</w:t>
            </w:r>
            <w:r w:rsidRPr="009340AA">
              <w:rPr>
                <w:rFonts w:eastAsia="Arial" w:cs="Arial"/>
                <w:bCs w:val="0"/>
                <w:spacing w:val="1"/>
              </w:rPr>
              <w:t>a</w:t>
            </w:r>
            <w:r w:rsidRPr="009340AA">
              <w:rPr>
                <w:rFonts w:eastAsia="Arial" w:cs="Arial"/>
                <w:bCs w:val="0"/>
              </w:rPr>
              <w:t>re ne</w:t>
            </w:r>
            <w:r w:rsidRPr="009340AA">
              <w:rPr>
                <w:rFonts w:eastAsia="Arial" w:cs="Arial"/>
                <w:bCs w:val="0"/>
                <w:spacing w:val="1"/>
              </w:rPr>
              <w:t>e</w:t>
            </w:r>
            <w:r w:rsidRPr="009340AA">
              <w:rPr>
                <w:rFonts w:eastAsia="Arial" w:cs="Arial"/>
                <w:bCs w:val="0"/>
              </w:rPr>
              <w:t>d</w:t>
            </w:r>
          </w:p>
        </w:tc>
        <w:tc>
          <w:tcPr>
            <w:cnfStyle w:val="000100000000" w:firstRow="0" w:lastRow="0" w:firstColumn="0" w:lastColumn="1" w:oddVBand="0" w:evenVBand="0" w:oddHBand="0" w:evenHBand="0" w:firstRowFirstColumn="0" w:firstRowLastColumn="0" w:lastRowFirstColumn="0" w:lastRowLastColumn="0"/>
            <w:tcW w:w="1904" w:type="dxa"/>
          </w:tcPr>
          <w:p w:rsidR="009B209E" w:rsidRPr="009340AA" w:rsidRDefault="009B209E" w:rsidP="00593EB4">
            <w:pPr>
              <w:spacing w:before="2" w:line="140" w:lineRule="exact"/>
              <w:jc w:val="center"/>
              <w:rPr>
                <w:rFonts w:cs="Arial"/>
              </w:rPr>
            </w:pPr>
          </w:p>
          <w:p w:rsidR="009B209E" w:rsidRPr="009340AA" w:rsidRDefault="009B209E" w:rsidP="00593EB4">
            <w:pPr>
              <w:spacing w:line="200" w:lineRule="exact"/>
              <w:jc w:val="center"/>
              <w:rPr>
                <w:rFonts w:cs="Arial"/>
              </w:rPr>
            </w:pPr>
          </w:p>
          <w:p w:rsidR="009B209E" w:rsidRPr="009340AA" w:rsidRDefault="009B209E" w:rsidP="00593EB4">
            <w:pPr>
              <w:spacing w:line="200" w:lineRule="exact"/>
              <w:jc w:val="center"/>
              <w:rPr>
                <w:rFonts w:cs="Arial"/>
              </w:rPr>
            </w:pPr>
          </w:p>
          <w:p w:rsidR="009B209E" w:rsidRPr="009340AA" w:rsidRDefault="009B209E" w:rsidP="004B779A">
            <w:pPr>
              <w:ind w:left="102" w:right="40"/>
              <w:rPr>
                <w:rFonts w:eastAsia="Arial" w:cs="Arial"/>
              </w:rPr>
            </w:pPr>
            <w:r w:rsidRPr="009340AA">
              <w:rPr>
                <w:rFonts w:eastAsia="Arial" w:cs="Arial"/>
                <w:bCs w:val="0"/>
                <w:spacing w:val="-5"/>
              </w:rPr>
              <w:t>A</w:t>
            </w:r>
            <w:r w:rsidRPr="009340AA">
              <w:rPr>
                <w:rFonts w:eastAsia="Arial" w:cs="Arial"/>
                <w:bCs w:val="0"/>
              </w:rPr>
              <w:t xml:space="preserve">s   a   % of </w:t>
            </w:r>
            <w:r w:rsidRPr="009340AA">
              <w:rPr>
                <w:rFonts w:eastAsia="Arial" w:cs="Arial"/>
                <w:bCs w:val="0"/>
                <w:spacing w:val="1"/>
              </w:rPr>
              <w:t>a</w:t>
            </w:r>
            <w:r w:rsidRPr="009340AA">
              <w:rPr>
                <w:rFonts w:eastAsia="Arial" w:cs="Arial"/>
                <w:bCs w:val="0"/>
              </w:rPr>
              <w:t xml:space="preserve">ll </w:t>
            </w:r>
            <w:r w:rsidRPr="009340AA">
              <w:rPr>
                <w:rFonts w:eastAsia="Arial" w:cs="Arial"/>
                <w:bCs w:val="0"/>
                <w:spacing w:val="1"/>
              </w:rPr>
              <w:t>c</w:t>
            </w:r>
            <w:r w:rsidRPr="009340AA">
              <w:rPr>
                <w:rFonts w:eastAsia="Arial" w:cs="Arial"/>
                <w:bCs w:val="0"/>
              </w:rPr>
              <w:t>onc</w:t>
            </w:r>
            <w:r w:rsidRPr="009340AA">
              <w:rPr>
                <w:rFonts w:eastAsia="Arial" w:cs="Arial"/>
                <w:bCs w:val="0"/>
                <w:spacing w:val="1"/>
              </w:rPr>
              <w:t>e</w:t>
            </w:r>
            <w:r w:rsidRPr="009340AA">
              <w:rPr>
                <w:rFonts w:eastAsia="Arial" w:cs="Arial"/>
                <w:bCs w:val="0"/>
              </w:rPr>
              <w:t>rns</w:t>
            </w:r>
          </w:p>
        </w:tc>
      </w:tr>
      <w:tr w:rsidR="004B779A" w:rsidRPr="009340AA" w:rsidTr="00035C86">
        <w:trPr>
          <w:cnfStyle w:val="000000100000" w:firstRow="0" w:lastRow="0" w:firstColumn="0" w:lastColumn="0" w:oddVBand="0" w:evenVBand="0" w:oddHBand="1" w:evenHBand="0" w:firstRowFirstColumn="0" w:firstRowLastColumn="0" w:lastRowFirstColumn="0" w:lastRowLastColumn="0"/>
          <w:trHeight w:hRule="exact" w:val="280"/>
          <w:jc w:val="center"/>
        </w:trPr>
        <w:tc>
          <w:tcPr>
            <w:cnfStyle w:val="001000000000" w:firstRow="0" w:lastRow="0" w:firstColumn="1" w:lastColumn="0" w:oddVBand="0" w:evenVBand="0" w:oddHBand="0" w:evenHBand="0" w:firstRowFirstColumn="0" w:firstRowLastColumn="0" w:lastRowFirstColumn="0" w:lastRowLastColumn="0"/>
            <w:tcW w:w="7216" w:type="dxa"/>
          </w:tcPr>
          <w:p w:rsidR="009B209E" w:rsidRPr="009340AA" w:rsidRDefault="009B209E" w:rsidP="00593EB4">
            <w:pPr>
              <w:jc w:val="both"/>
              <w:rPr>
                <w:rFonts w:cs="Arial"/>
                <w:b w:val="0"/>
              </w:rPr>
            </w:pPr>
            <w:r w:rsidRPr="009340AA">
              <w:rPr>
                <w:rFonts w:cs="Arial"/>
                <w:b w:val="0"/>
              </w:rPr>
              <w:t>Physical Disability</w:t>
            </w:r>
          </w:p>
        </w:tc>
        <w:tc>
          <w:tcPr>
            <w:cnfStyle w:val="000100000000" w:firstRow="0" w:lastRow="0" w:firstColumn="0" w:lastColumn="1" w:oddVBand="0" w:evenVBand="0" w:oddHBand="0" w:evenHBand="0" w:firstRowFirstColumn="0" w:firstRowLastColumn="0" w:lastRowFirstColumn="0" w:lastRowLastColumn="0"/>
            <w:tcW w:w="1904" w:type="dxa"/>
          </w:tcPr>
          <w:p w:rsidR="009B209E" w:rsidRPr="009340AA" w:rsidRDefault="009B209E" w:rsidP="00593EB4">
            <w:pPr>
              <w:jc w:val="center"/>
              <w:rPr>
                <w:rFonts w:cs="Arial"/>
                <w:b w:val="0"/>
              </w:rPr>
            </w:pPr>
            <w:r w:rsidRPr="009340AA">
              <w:rPr>
                <w:rFonts w:cs="Arial"/>
                <w:b w:val="0"/>
              </w:rPr>
              <w:t>56%</w:t>
            </w:r>
          </w:p>
        </w:tc>
      </w:tr>
      <w:tr w:rsidR="004B779A" w:rsidRPr="009340AA" w:rsidTr="00035C86">
        <w:trPr>
          <w:trHeight w:hRule="exact" w:val="271"/>
          <w:jc w:val="center"/>
        </w:trPr>
        <w:tc>
          <w:tcPr>
            <w:cnfStyle w:val="001000000000" w:firstRow="0" w:lastRow="0" w:firstColumn="1" w:lastColumn="0" w:oddVBand="0" w:evenVBand="0" w:oddHBand="0" w:evenHBand="0" w:firstRowFirstColumn="0" w:firstRowLastColumn="0" w:lastRowFirstColumn="0" w:lastRowLastColumn="0"/>
            <w:tcW w:w="7216" w:type="dxa"/>
          </w:tcPr>
          <w:p w:rsidR="009B209E" w:rsidRPr="009340AA" w:rsidRDefault="009B209E" w:rsidP="00593EB4">
            <w:pPr>
              <w:jc w:val="both"/>
              <w:rPr>
                <w:rFonts w:cs="Arial"/>
                <w:b w:val="0"/>
              </w:rPr>
            </w:pPr>
            <w:r w:rsidRPr="009340AA">
              <w:rPr>
                <w:rFonts w:cs="Arial"/>
                <w:b w:val="0"/>
              </w:rPr>
              <w:t>Learning Disability</w:t>
            </w:r>
          </w:p>
        </w:tc>
        <w:tc>
          <w:tcPr>
            <w:cnfStyle w:val="000100000000" w:firstRow="0" w:lastRow="0" w:firstColumn="0" w:lastColumn="1" w:oddVBand="0" w:evenVBand="0" w:oddHBand="0" w:evenHBand="0" w:firstRowFirstColumn="0" w:firstRowLastColumn="0" w:lastRowFirstColumn="0" w:lastRowLastColumn="0"/>
            <w:tcW w:w="1904" w:type="dxa"/>
          </w:tcPr>
          <w:p w:rsidR="009B209E" w:rsidRPr="009340AA" w:rsidRDefault="009B209E" w:rsidP="00593EB4">
            <w:pPr>
              <w:jc w:val="center"/>
              <w:rPr>
                <w:rFonts w:cs="Arial"/>
                <w:b w:val="0"/>
              </w:rPr>
            </w:pPr>
            <w:r w:rsidRPr="009340AA">
              <w:rPr>
                <w:rFonts w:cs="Arial"/>
                <w:b w:val="0"/>
              </w:rPr>
              <w:t>14%</w:t>
            </w:r>
          </w:p>
        </w:tc>
      </w:tr>
      <w:tr w:rsidR="004B779A" w:rsidRPr="009340AA" w:rsidTr="00035C86">
        <w:trPr>
          <w:cnfStyle w:val="000000100000" w:firstRow="0" w:lastRow="0" w:firstColumn="0" w:lastColumn="0" w:oddVBand="0" w:evenVBand="0" w:oddHBand="1" w:evenHBand="0" w:firstRowFirstColumn="0" w:firstRowLastColumn="0" w:lastRowFirstColumn="0" w:lastRowLastColumn="0"/>
          <w:trHeight w:hRule="exact" w:val="271"/>
          <w:jc w:val="center"/>
        </w:trPr>
        <w:tc>
          <w:tcPr>
            <w:cnfStyle w:val="001000000000" w:firstRow="0" w:lastRow="0" w:firstColumn="1" w:lastColumn="0" w:oddVBand="0" w:evenVBand="0" w:oddHBand="0" w:evenHBand="0" w:firstRowFirstColumn="0" w:firstRowLastColumn="0" w:lastRowFirstColumn="0" w:lastRowLastColumn="0"/>
            <w:tcW w:w="7216" w:type="dxa"/>
          </w:tcPr>
          <w:p w:rsidR="009B209E" w:rsidRPr="009340AA" w:rsidRDefault="009B209E" w:rsidP="00593EB4">
            <w:pPr>
              <w:jc w:val="both"/>
              <w:rPr>
                <w:rFonts w:cs="Arial"/>
                <w:b w:val="0"/>
              </w:rPr>
            </w:pPr>
            <w:r w:rsidRPr="009340AA">
              <w:rPr>
                <w:rFonts w:cs="Arial"/>
                <w:b w:val="0"/>
              </w:rPr>
              <w:t>Mental Health</w:t>
            </w:r>
          </w:p>
        </w:tc>
        <w:tc>
          <w:tcPr>
            <w:cnfStyle w:val="000100000000" w:firstRow="0" w:lastRow="0" w:firstColumn="0" w:lastColumn="1" w:oddVBand="0" w:evenVBand="0" w:oddHBand="0" w:evenHBand="0" w:firstRowFirstColumn="0" w:firstRowLastColumn="0" w:lastRowFirstColumn="0" w:lastRowLastColumn="0"/>
            <w:tcW w:w="1904" w:type="dxa"/>
          </w:tcPr>
          <w:p w:rsidR="009B209E" w:rsidRPr="009340AA" w:rsidRDefault="009B209E" w:rsidP="00593EB4">
            <w:pPr>
              <w:jc w:val="center"/>
              <w:rPr>
                <w:rFonts w:cs="Arial"/>
                <w:b w:val="0"/>
              </w:rPr>
            </w:pPr>
            <w:r w:rsidRPr="009340AA">
              <w:rPr>
                <w:rFonts w:cs="Arial"/>
                <w:b w:val="0"/>
              </w:rPr>
              <w:t>9%</w:t>
            </w:r>
          </w:p>
        </w:tc>
      </w:tr>
      <w:tr w:rsidR="004B779A" w:rsidRPr="009340AA" w:rsidTr="00035C86">
        <w:trPr>
          <w:trHeight w:hRule="exact" w:val="273"/>
          <w:jc w:val="center"/>
        </w:trPr>
        <w:tc>
          <w:tcPr>
            <w:cnfStyle w:val="001000000000" w:firstRow="0" w:lastRow="0" w:firstColumn="1" w:lastColumn="0" w:oddVBand="0" w:evenVBand="0" w:oddHBand="0" w:evenHBand="0" w:firstRowFirstColumn="0" w:firstRowLastColumn="0" w:lastRowFirstColumn="0" w:lastRowLastColumn="0"/>
            <w:tcW w:w="7216" w:type="dxa"/>
          </w:tcPr>
          <w:p w:rsidR="009B209E" w:rsidRPr="009340AA" w:rsidRDefault="009B209E" w:rsidP="00593EB4">
            <w:pPr>
              <w:jc w:val="both"/>
              <w:rPr>
                <w:rFonts w:cs="Arial"/>
                <w:b w:val="0"/>
              </w:rPr>
            </w:pPr>
            <w:r w:rsidRPr="009340AA">
              <w:rPr>
                <w:rFonts w:cs="Arial"/>
                <w:b w:val="0"/>
              </w:rPr>
              <w:t>Other Vulnerable Person</w:t>
            </w:r>
          </w:p>
        </w:tc>
        <w:tc>
          <w:tcPr>
            <w:cnfStyle w:val="000100000000" w:firstRow="0" w:lastRow="0" w:firstColumn="0" w:lastColumn="1" w:oddVBand="0" w:evenVBand="0" w:oddHBand="0" w:evenHBand="0" w:firstRowFirstColumn="0" w:firstRowLastColumn="0" w:lastRowFirstColumn="0" w:lastRowLastColumn="0"/>
            <w:tcW w:w="1904" w:type="dxa"/>
          </w:tcPr>
          <w:p w:rsidR="009B209E" w:rsidRPr="009340AA" w:rsidRDefault="009B209E" w:rsidP="00593EB4">
            <w:pPr>
              <w:jc w:val="center"/>
              <w:rPr>
                <w:rFonts w:cs="Arial"/>
                <w:b w:val="0"/>
              </w:rPr>
            </w:pPr>
            <w:r w:rsidRPr="009340AA">
              <w:rPr>
                <w:rFonts w:cs="Arial"/>
                <w:b w:val="0"/>
              </w:rPr>
              <w:t>9%</w:t>
            </w:r>
          </w:p>
        </w:tc>
      </w:tr>
      <w:tr w:rsidR="004B779A" w:rsidRPr="009340AA" w:rsidTr="00035C86">
        <w:trPr>
          <w:cnfStyle w:val="000000100000" w:firstRow="0" w:lastRow="0" w:firstColumn="0" w:lastColumn="0" w:oddVBand="0" w:evenVBand="0" w:oddHBand="1" w:evenHBand="0" w:firstRowFirstColumn="0" w:firstRowLastColumn="0" w:lastRowFirstColumn="0" w:lastRowLastColumn="0"/>
          <w:trHeight w:hRule="exact" w:val="271"/>
          <w:jc w:val="center"/>
        </w:trPr>
        <w:tc>
          <w:tcPr>
            <w:cnfStyle w:val="001000000000" w:firstRow="0" w:lastRow="0" w:firstColumn="1" w:lastColumn="0" w:oddVBand="0" w:evenVBand="0" w:oddHBand="0" w:evenHBand="0" w:firstRowFirstColumn="0" w:firstRowLastColumn="0" w:lastRowFirstColumn="0" w:lastRowLastColumn="0"/>
            <w:tcW w:w="7216" w:type="dxa"/>
          </w:tcPr>
          <w:p w:rsidR="009B209E" w:rsidRPr="009340AA" w:rsidRDefault="009B209E" w:rsidP="00593EB4">
            <w:pPr>
              <w:jc w:val="both"/>
              <w:rPr>
                <w:rFonts w:cs="Arial"/>
                <w:b w:val="0"/>
              </w:rPr>
            </w:pPr>
            <w:r w:rsidRPr="009340AA">
              <w:rPr>
                <w:rFonts w:cs="Arial"/>
                <w:b w:val="0"/>
              </w:rPr>
              <w:t>(blank)</w:t>
            </w:r>
          </w:p>
        </w:tc>
        <w:tc>
          <w:tcPr>
            <w:cnfStyle w:val="000100000000" w:firstRow="0" w:lastRow="0" w:firstColumn="0" w:lastColumn="1" w:oddVBand="0" w:evenVBand="0" w:oddHBand="0" w:evenHBand="0" w:firstRowFirstColumn="0" w:firstRowLastColumn="0" w:lastRowFirstColumn="0" w:lastRowLastColumn="0"/>
            <w:tcW w:w="1904" w:type="dxa"/>
          </w:tcPr>
          <w:p w:rsidR="009B209E" w:rsidRPr="009340AA" w:rsidRDefault="009B209E" w:rsidP="00593EB4">
            <w:pPr>
              <w:jc w:val="center"/>
              <w:rPr>
                <w:rFonts w:cs="Arial"/>
                <w:b w:val="0"/>
              </w:rPr>
            </w:pPr>
            <w:r w:rsidRPr="009340AA">
              <w:rPr>
                <w:rFonts w:cs="Arial"/>
                <w:b w:val="0"/>
              </w:rPr>
              <w:t>4%</w:t>
            </w:r>
          </w:p>
        </w:tc>
      </w:tr>
      <w:tr w:rsidR="004B779A" w:rsidRPr="009340AA" w:rsidTr="00035C86">
        <w:trPr>
          <w:trHeight w:hRule="exact" w:val="273"/>
          <w:jc w:val="center"/>
        </w:trPr>
        <w:tc>
          <w:tcPr>
            <w:cnfStyle w:val="001000000000" w:firstRow="0" w:lastRow="0" w:firstColumn="1" w:lastColumn="0" w:oddVBand="0" w:evenVBand="0" w:oddHBand="0" w:evenHBand="0" w:firstRowFirstColumn="0" w:firstRowLastColumn="0" w:lastRowFirstColumn="0" w:lastRowLastColumn="0"/>
            <w:tcW w:w="7216" w:type="dxa"/>
          </w:tcPr>
          <w:p w:rsidR="009B209E" w:rsidRPr="009340AA" w:rsidRDefault="009B209E" w:rsidP="00593EB4">
            <w:pPr>
              <w:jc w:val="both"/>
              <w:rPr>
                <w:rFonts w:cs="Arial"/>
                <w:b w:val="0"/>
              </w:rPr>
            </w:pPr>
            <w:r w:rsidRPr="009340AA">
              <w:rPr>
                <w:rFonts w:cs="Arial"/>
                <w:b w:val="0"/>
              </w:rPr>
              <w:t>Dementia</w:t>
            </w:r>
          </w:p>
        </w:tc>
        <w:tc>
          <w:tcPr>
            <w:cnfStyle w:val="000100000000" w:firstRow="0" w:lastRow="0" w:firstColumn="0" w:lastColumn="1" w:oddVBand="0" w:evenVBand="0" w:oddHBand="0" w:evenHBand="0" w:firstRowFirstColumn="0" w:firstRowLastColumn="0" w:lastRowFirstColumn="0" w:lastRowLastColumn="0"/>
            <w:tcW w:w="1904" w:type="dxa"/>
          </w:tcPr>
          <w:p w:rsidR="009B209E" w:rsidRPr="009340AA" w:rsidRDefault="009B209E" w:rsidP="00593EB4">
            <w:pPr>
              <w:jc w:val="center"/>
              <w:rPr>
                <w:rFonts w:cs="Arial"/>
                <w:b w:val="0"/>
              </w:rPr>
            </w:pPr>
            <w:r w:rsidRPr="009340AA">
              <w:rPr>
                <w:rFonts w:cs="Arial"/>
                <w:b w:val="0"/>
              </w:rPr>
              <w:t>4%</w:t>
            </w:r>
          </w:p>
        </w:tc>
      </w:tr>
      <w:tr w:rsidR="004B779A" w:rsidRPr="009340AA" w:rsidTr="00035C86">
        <w:trPr>
          <w:cnfStyle w:val="000000100000" w:firstRow="0" w:lastRow="0" w:firstColumn="0" w:lastColumn="0" w:oddVBand="0" w:evenVBand="0" w:oddHBand="1" w:evenHBand="0" w:firstRowFirstColumn="0" w:firstRowLastColumn="0" w:lastRowFirstColumn="0" w:lastRowLastColumn="0"/>
          <w:trHeight w:hRule="exact" w:val="323"/>
          <w:jc w:val="center"/>
        </w:trPr>
        <w:tc>
          <w:tcPr>
            <w:cnfStyle w:val="001000000000" w:firstRow="0" w:lastRow="0" w:firstColumn="1" w:lastColumn="0" w:oddVBand="0" w:evenVBand="0" w:oddHBand="0" w:evenHBand="0" w:firstRowFirstColumn="0" w:firstRowLastColumn="0" w:lastRowFirstColumn="0" w:lastRowLastColumn="0"/>
            <w:tcW w:w="7216" w:type="dxa"/>
          </w:tcPr>
          <w:p w:rsidR="009B209E" w:rsidRPr="009340AA" w:rsidRDefault="009B209E" w:rsidP="00593EB4">
            <w:pPr>
              <w:jc w:val="both"/>
              <w:rPr>
                <w:rFonts w:cs="Arial"/>
                <w:b w:val="0"/>
              </w:rPr>
            </w:pPr>
            <w:r w:rsidRPr="009340AA">
              <w:rPr>
                <w:rFonts w:cs="Arial"/>
                <w:b w:val="0"/>
              </w:rPr>
              <w:t>Substance misuse</w:t>
            </w:r>
          </w:p>
        </w:tc>
        <w:tc>
          <w:tcPr>
            <w:cnfStyle w:val="000100000000" w:firstRow="0" w:lastRow="0" w:firstColumn="0" w:lastColumn="1" w:oddVBand="0" w:evenVBand="0" w:oddHBand="0" w:evenHBand="0" w:firstRowFirstColumn="0" w:firstRowLastColumn="0" w:lastRowFirstColumn="0" w:lastRowLastColumn="0"/>
            <w:tcW w:w="1904" w:type="dxa"/>
          </w:tcPr>
          <w:p w:rsidR="009B209E" w:rsidRPr="009340AA" w:rsidRDefault="009B209E" w:rsidP="00593EB4">
            <w:pPr>
              <w:jc w:val="center"/>
              <w:rPr>
                <w:rFonts w:cs="Arial"/>
                <w:b w:val="0"/>
              </w:rPr>
            </w:pPr>
            <w:r w:rsidRPr="009340AA">
              <w:rPr>
                <w:rFonts w:cs="Arial"/>
                <w:b w:val="0"/>
              </w:rPr>
              <w:t>3%</w:t>
            </w:r>
          </w:p>
        </w:tc>
      </w:tr>
      <w:tr w:rsidR="004B779A" w:rsidRPr="009340AA" w:rsidTr="00035C86">
        <w:trPr>
          <w:trHeight w:hRule="exact" w:val="273"/>
          <w:jc w:val="center"/>
        </w:trPr>
        <w:tc>
          <w:tcPr>
            <w:cnfStyle w:val="001000000000" w:firstRow="0" w:lastRow="0" w:firstColumn="1" w:lastColumn="0" w:oddVBand="0" w:evenVBand="0" w:oddHBand="0" w:evenHBand="0" w:firstRowFirstColumn="0" w:firstRowLastColumn="0" w:lastRowFirstColumn="0" w:lastRowLastColumn="0"/>
            <w:tcW w:w="7216" w:type="dxa"/>
          </w:tcPr>
          <w:p w:rsidR="009B209E" w:rsidRPr="009340AA" w:rsidRDefault="009B209E" w:rsidP="00593EB4">
            <w:pPr>
              <w:jc w:val="both"/>
              <w:rPr>
                <w:rFonts w:cs="Arial"/>
                <w:b w:val="0"/>
              </w:rPr>
            </w:pPr>
            <w:r w:rsidRPr="009340AA">
              <w:rPr>
                <w:rFonts w:cs="Arial"/>
                <w:b w:val="0"/>
              </w:rPr>
              <w:t>Sensory Impairment</w:t>
            </w:r>
          </w:p>
        </w:tc>
        <w:tc>
          <w:tcPr>
            <w:cnfStyle w:val="000100000000" w:firstRow="0" w:lastRow="0" w:firstColumn="0" w:lastColumn="1" w:oddVBand="0" w:evenVBand="0" w:oddHBand="0" w:evenHBand="0" w:firstRowFirstColumn="0" w:firstRowLastColumn="0" w:lastRowFirstColumn="0" w:lastRowLastColumn="0"/>
            <w:tcW w:w="1904" w:type="dxa"/>
          </w:tcPr>
          <w:p w:rsidR="009B209E" w:rsidRPr="009340AA" w:rsidRDefault="009B209E" w:rsidP="00593EB4">
            <w:pPr>
              <w:jc w:val="center"/>
              <w:rPr>
                <w:rFonts w:cs="Arial"/>
                <w:b w:val="0"/>
              </w:rPr>
            </w:pPr>
            <w:r w:rsidRPr="009340AA">
              <w:rPr>
                <w:rFonts w:cs="Arial"/>
                <w:b w:val="0"/>
              </w:rPr>
              <w:t>0%</w:t>
            </w:r>
          </w:p>
        </w:tc>
      </w:tr>
      <w:tr w:rsidR="004B779A" w:rsidRPr="009340AA" w:rsidTr="00035C86">
        <w:trPr>
          <w:cnfStyle w:val="000000100000" w:firstRow="0" w:lastRow="0" w:firstColumn="0" w:lastColumn="0" w:oddVBand="0" w:evenVBand="0" w:oddHBand="1" w:evenHBand="0" w:firstRowFirstColumn="0" w:firstRowLastColumn="0" w:lastRowFirstColumn="0" w:lastRowLastColumn="0"/>
          <w:trHeight w:hRule="exact" w:val="271"/>
          <w:jc w:val="center"/>
        </w:trPr>
        <w:tc>
          <w:tcPr>
            <w:cnfStyle w:val="001000000000" w:firstRow="0" w:lastRow="0" w:firstColumn="1" w:lastColumn="0" w:oddVBand="0" w:evenVBand="0" w:oddHBand="0" w:evenHBand="0" w:firstRowFirstColumn="0" w:firstRowLastColumn="0" w:lastRowFirstColumn="0" w:lastRowLastColumn="0"/>
            <w:tcW w:w="7216" w:type="dxa"/>
          </w:tcPr>
          <w:p w:rsidR="009B209E" w:rsidRPr="009340AA" w:rsidRDefault="009B209E" w:rsidP="00593EB4">
            <w:pPr>
              <w:jc w:val="both"/>
              <w:rPr>
                <w:rFonts w:cs="Arial"/>
                <w:b w:val="0"/>
              </w:rPr>
            </w:pPr>
            <w:r w:rsidRPr="009340AA">
              <w:rPr>
                <w:rFonts w:cs="Arial"/>
                <w:b w:val="0"/>
              </w:rPr>
              <w:t>Carer</w:t>
            </w:r>
          </w:p>
        </w:tc>
        <w:tc>
          <w:tcPr>
            <w:cnfStyle w:val="000100000000" w:firstRow="0" w:lastRow="0" w:firstColumn="0" w:lastColumn="1" w:oddVBand="0" w:evenVBand="0" w:oddHBand="0" w:evenHBand="0" w:firstRowFirstColumn="0" w:firstRowLastColumn="0" w:lastRowFirstColumn="0" w:lastRowLastColumn="0"/>
            <w:tcW w:w="1904" w:type="dxa"/>
          </w:tcPr>
          <w:p w:rsidR="009B209E" w:rsidRPr="009340AA" w:rsidRDefault="009B209E" w:rsidP="00593EB4">
            <w:pPr>
              <w:jc w:val="center"/>
              <w:rPr>
                <w:rFonts w:cs="Arial"/>
                <w:b w:val="0"/>
              </w:rPr>
            </w:pPr>
            <w:r w:rsidRPr="009340AA">
              <w:rPr>
                <w:rFonts w:cs="Arial"/>
                <w:b w:val="0"/>
              </w:rPr>
              <w:t>0%</w:t>
            </w:r>
          </w:p>
        </w:tc>
      </w:tr>
      <w:tr w:rsidR="004B779A" w:rsidRPr="009340AA" w:rsidTr="00035C86">
        <w:trPr>
          <w:cnfStyle w:val="010000000000" w:firstRow="0" w:lastRow="1" w:firstColumn="0" w:lastColumn="0" w:oddVBand="0" w:evenVBand="0" w:oddHBand="0" w:evenHBand="0" w:firstRowFirstColumn="0" w:firstRowLastColumn="0" w:lastRowFirstColumn="0" w:lastRowLastColumn="0"/>
          <w:trHeight w:hRule="exact" w:val="273"/>
          <w:jc w:val="center"/>
        </w:trPr>
        <w:tc>
          <w:tcPr>
            <w:cnfStyle w:val="001000000000" w:firstRow="0" w:lastRow="0" w:firstColumn="1" w:lastColumn="0" w:oddVBand="0" w:evenVBand="0" w:oddHBand="0" w:evenHBand="0" w:firstRowFirstColumn="0" w:firstRowLastColumn="0" w:lastRowFirstColumn="0" w:lastRowLastColumn="0"/>
            <w:tcW w:w="7216" w:type="dxa"/>
          </w:tcPr>
          <w:p w:rsidR="009B209E" w:rsidRPr="009340AA" w:rsidRDefault="009B209E" w:rsidP="00593EB4">
            <w:pPr>
              <w:jc w:val="both"/>
              <w:rPr>
                <w:rFonts w:cs="Arial"/>
                <w:b w:val="0"/>
              </w:rPr>
            </w:pPr>
            <w:r w:rsidRPr="009340AA">
              <w:rPr>
                <w:rFonts w:cs="Arial"/>
                <w:b w:val="0"/>
              </w:rPr>
              <w:t>Grand Total</w:t>
            </w:r>
          </w:p>
        </w:tc>
        <w:tc>
          <w:tcPr>
            <w:cnfStyle w:val="000100000000" w:firstRow="0" w:lastRow="0" w:firstColumn="0" w:lastColumn="1" w:oddVBand="0" w:evenVBand="0" w:oddHBand="0" w:evenHBand="0" w:firstRowFirstColumn="0" w:firstRowLastColumn="0" w:lastRowFirstColumn="0" w:lastRowLastColumn="0"/>
            <w:tcW w:w="1904" w:type="dxa"/>
          </w:tcPr>
          <w:p w:rsidR="009B209E" w:rsidRPr="009340AA" w:rsidRDefault="009B209E" w:rsidP="00593EB4">
            <w:pPr>
              <w:jc w:val="center"/>
              <w:rPr>
                <w:rFonts w:cs="Arial"/>
                <w:b w:val="0"/>
              </w:rPr>
            </w:pPr>
            <w:r w:rsidRPr="009340AA">
              <w:rPr>
                <w:rFonts w:cs="Arial"/>
                <w:b w:val="0"/>
              </w:rPr>
              <w:t>100%</w:t>
            </w:r>
          </w:p>
        </w:tc>
      </w:tr>
    </w:tbl>
    <w:p w:rsidR="009B209E" w:rsidRPr="004B779A" w:rsidRDefault="009B209E" w:rsidP="009B209E">
      <w:pPr>
        <w:spacing w:after="0"/>
        <w:jc w:val="both"/>
        <w:rPr>
          <w:rFonts w:ascii="Arial" w:hAnsi="Arial" w:cs="Arial"/>
        </w:rPr>
      </w:pPr>
    </w:p>
    <w:p w:rsidR="009B209E" w:rsidRPr="004B779A" w:rsidRDefault="009B209E" w:rsidP="009B209E">
      <w:pPr>
        <w:spacing w:after="0"/>
        <w:jc w:val="both"/>
        <w:rPr>
          <w:rFonts w:ascii="Arial" w:hAnsi="Arial" w:cs="Arial"/>
        </w:rPr>
      </w:pPr>
    </w:p>
    <w:p w:rsidR="009B209E" w:rsidRPr="004B779A" w:rsidRDefault="009B209E" w:rsidP="009B209E">
      <w:pPr>
        <w:spacing w:after="0"/>
        <w:jc w:val="both"/>
        <w:rPr>
          <w:rFonts w:ascii="Arial" w:hAnsi="Arial" w:cs="Arial"/>
        </w:rPr>
      </w:pPr>
      <w:r w:rsidRPr="004B779A">
        <w:rPr>
          <w:rFonts w:ascii="Arial" w:hAnsi="Arial" w:cs="Arial"/>
        </w:rPr>
        <w:t xml:space="preserve">Table 6 shows that most adults at risk of abuse have a physical disability. The majority are over 65 as shown in table 3 so relates to older people.  This provides insight into the categories of abuse listed as high, given that this correlates with people’s care needs. People with a learning disability and mental health are the second highest category.  Those recorded as ‘blank’ are where this was not completed. Training is underway via the Safeguarding Forum to address issues of recording.  </w:t>
      </w:r>
    </w:p>
    <w:p w:rsidR="009B209E" w:rsidRPr="004B779A" w:rsidRDefault="009B209E" w:rsidP="009B209E">
      <w:pPr>
        <w:spacing w:after="0"/>
        <w:jc w:val="both"/>
        <w:rPr>
          <w:rFonts w:ascii="Arial" w:hAnsi="Arial" w:cs="Arial"/>
        </w:rPr>
      </w:pPr>
    </w:p>
    <w:p w:rsidR="009B209E" w:rsidRPr="004B779A" w:rsidRDefault="009B209E" w:rsidP="004B779A">
      <w:pPr>
        <w:spacing w:after="0"/>
        <w:jc w:val="both"/>
        <w:rPr>
          <w:rFonts w:ascii="Arial" w:hAnsi="Arial" w:cs="Arial"/>
          <w:b/>
        </w:rPr>
      </w:pPr>
      <w:r w:rsidRPr="004B779A">
        <w:rPr>
          <w:rFonts w:ascii="Arial" w:hAnsi="Arial" w:cs="Arial"/>
          <w:b/>
        </w:rPr>
        <w:t xml:space="preserve">Outcomes </w:t>
      </w:r>
    </w:p>
    <w:p w:rsidR="009B209E" w:rsidRPr="004B779A" w:rsidRDefault="009B209E" w:rsidP="009B209E">
      <w:pPr>
        <w:spacing w:before="43" w:after="0" w:line="275" w:lineRule="auto"/>
        <w:ind w:right="58"/>
        <w:jc w:val="both"/>
        <w:rPr>
          <w:rFonts w:ascii="Arial" w:hAnsi="Arial" w:cs="Arial"/>
        </w:rPr>
      </w:pPr>
    </w:p>
    <w:p w:rsidR="009B209E" w:rsidRPr="004B779A" w:rsidRDefault="009B209E" w:rsidP="009B209E">
      <w:pPr>
        <w:spacing w:before="43" w:after="0" w:line="275" w:lineRule="auto"/>
        <w:ind w:right="58"/>
        <w:jc w:val="both"/>
        <w:rPr>
          <w:rFonts w:ascii="Arial" w:eastAsia="Arial" w:hAnsi="Arial" w:cs="Arial"/>
        </w:rPr>
      </w:pPr>
      <w:r w:rsidRPr="004B779A">
        <w:rPr>
          <w:rFonts w:ascii="Arial" w:eastAsia="Arial" w:hAnsi="Arial" w:cs="Arial"/>
        </w:rPr>
        <w:t xml:space="preserve">Work has been completed nationally and locally in updating recording practices for capturing outcomes. </w:t>
      </w:r>
    </w:p>
    <w:p w:rsidR="009B209E" w:rsidRPr="004B779A" w:rsidRDefault="009B209E" w:rsidP="009B209E">
      <w:pPr>
        <w:spacing w:after="0" w:line="240" w:lineRule="auto"/>
        <w:ind w:right="2418"/>
        <w:jc w:val="both"/>
        <w:rPr>
          <w:rFonts w:ascii="Arial" w:eastAsia="Arial" w:hAnsi="Arial" w:cs="Arial"/>
          <w:spacing w:val="-1"/>
        </w:rPr>
      </w:pPr>
      <w:r w:rsidRPr="004B779A">
        <w:rPr>
          <w:rFonts w:ascii="Arial" w:eastAsia="Arial" w:hAnsi="Arial" w:cs="Arial"/>
        </w:rPr>
        <w:t xml:space="preserve">In future the report will capture the following outcomes: </w:t>
      </w:r>
    </w:p>
    <w:p w:rsidR="009B209E" w:rsidRPr="004B779A" w:rsidRDefault="009B209E" w:rsidP="009B209E">
      <w:pPr>
        <w:spacing w:after="0" w:line="240" w:lineRule="auto"/>
        <w:ind w:right="2418"/>
        <w:jc w:val="both"/>
        <w:rPr>
          <w:rFonts w:ascii="Arial" w:eastAsia="Arial" w:hAnsi="Arial" w:cs="Arial"/>
        </w:rPr>
      </w:pPr>
    </w:p>
    <w:p w:rsidR="009B209E" w:rsidRPr="004B779A" w:rsidRDefault="009B209E" w:rsidP="009B209E">
      <w:pPr>
        <w:pStyle w:val="ListParagraph"/>
        <w:numPr>
          <w:ilvl w:val="0"/>
          <w:numId w:val="3"/>
        </w:numPr>
        <w:tabs>
          <w:tab w:val="left" w:pos="940"/>
        </w:tabs>
        <w:spacing w:before="39" w:after="0" w:line="240" w:lineRule="auto"/>
        <w:ind w:right="-20"/>
        <w:jc w:val="both"/>
        <w:rPr>
          <w:rFonts w:ascii="Arial" w:eastAsia="Arial" w:hAnsi="Arial" w:cs="Arial"/>
        </w:rPr>
      </w:pPr>
      <w:r w:rsidRPr="004B779A">
        <w:rPr>
          <w:rFonts w:ascii="Arial" w:eastAsia="Arial" w:hAnsi="Arial" w:cs="Arial"/>
        </w:rPr>
        <w:t>O</w:t>
      </w:r>
      <w:r w:rsidRPr="004B779A">
        <w:rPr>
          <w:rFonts w:ascii="Arial" w:eastAsia="Arial" w:hAnsi="Arial" w:cs="Arial"/>
          <w:spacing w:val="1"/>
        </w:rPr>
        <w:t>u</w:t>
      </w:r>
      <w:r w:rsidRPr="004B779A">
        <w:rPr>
          <w:rFonts w:ascii="Arial" w:eastAsia="Arial" w:hAnsi="Arial" w:cs="Arial"/>
        </w:rPr>
        <w:t>tc</w:t>
      </w:r>
      <w:r w:rsidRPr="004B779A">
        <w:rPr>
          <w:rFonts w:ascii="Arial" w:eastAsia="Arial" w:hAnsi="Arial" w:cs="Arial"/>
          <w:spacing w:val="-1"/>
        </w:rPr>
        <w:t>o</w:t>
      </w:r>
      <w:r w:rsidRPr="004B779A">
        <w:rPr>
          <w:rFonts w:ascii="Arial" w:eastAsia="Arial" w:hAnsi="Arial" w:cs="Arial"/>
          <w:spacing w:val="1"/>
        </w:rPr>
        <w:t>me</w:t>
      </w:r>
      <w:r w:rsidRPr="004B779A">
        <w:rPr>
          <w:rFonts w:ascii="Arial" w:eastAsia="Arial" w:hAnsi="Arial" w:cs="Arial"/>
        </w:rPr>
        <w:t>s</w:t>
      </w:r>
      <w:r w:rsidRPr="004B779A">
        <w:rPr>
          <w:rFonts w:ascii="Arial" w:eastAsia="Arial" w:hAnsi="Arial" w:cs="Arial"/>
          <w:spacing w:val="-2"/>
        </w:rPr>
        <w:t xml:space="preserve"> </w:t>
      </w:r>
      <w:r w:rsidRPr="004B779A">
        <w:rPr>
          <w:rFonts w:ascii="Arial" w:eastAsia="Arial" w:hAnsi="Arial" w:cs="Arial"/>
        </w:rPr>
        <w:t>f</w:t>
      </w:r>
      <w:r w:rsidRPr="004B779A">
        <w:rPr>
          <w:rFonts w:ascii="Arial" w:eastAsia="Arial" w:hAnsi="Arial" w:cs="Arial"/>
          <w:spacing w:val="1"/>
        </w:rPr>
        <w:t>u</w:t>
      </w:r>
      <w:r w:rsidRPr="004B779A">
        <w:rPr>
          <w:rFonts w:ascii="Arial" w:eastAsia="Arial" w:hAnsi="Arial" w:cs="Arial"/>
        </w:rPr>
        <w:t>l</w:t>
      </w:r>
      <w:r w:rsidRPr="004B779A">
        <w:rPr>
          <w:rFonts w:ascii="Arial" w:eastAsia="Arial" w:hAnsi="Arial" w:cs="Arial"/>
          <w:spacing w:val="-1"/>
        </w:rPr>
        <w:t>l</w:t>
      </w:r>
      <w:r w:rsidRPr="004B779A">
        <w:rPr>
          <w:rFonts w:ascii="Arial" w:eastAsia="Arial" w:hAnsi="Arial" w:cs="Arial"/>
        </w:rPr>
        <w:t>y</w:t>
      </w:r>
      <w:r w:rsidRPr="004B779A">
        <w:rPr>
          <w:rFonts w:ascii="Arial" w:eastAsia="Arial" w:hAnsi="Arial" w:cs="Arial"/>
          <w:spacing w:val="-2"/>
        </w:rPr>
        <w:t xml:space="preserve"> </w:t>
      </w:r>
      <w:r w:rsidRPr="004B779A">
        <w:rPr>
          <w:rFonts w:ascii="Arial" w:eastAsia="Arial" w:hAnsi="Arial" w:cs="Arial"/>
          <w:spacing w:val="1"/>
        </w:rPr>
        <w:t>a</w:t>
      </w:r>
      <w:r w:rsidRPr="004B779A">
        <w:rPr>
          <w:rFonts w:ascii="Arial" w:eastAsia="Arial" w:hAnsi="Arial" w:cs="Arial"/>
        </w:rPr>
        <w:t>c</w:t>
      </w:r>
      <w:r w:rsidRPr="004B779A">
        <w:rPr>
          <w:rFonts w:ascii="Arial" w:eastAsia="Arial" w:hAnsi="Arial" w:cs="Arial"/>
          <w:spacing w:val="1"/>
        </w:rPr>
        <w:t>h</w:t>
      </w:r>
      <w:r w:rsidRPr="004B779A">
        <w:rPr>
          <w:rFonts w:ascii="Arial" w:eastAsia="Arial" w:hAnsi="Arial" w:cs="Arial"/>
        </w:rPr>
        <w:t>ie</w:t>
      </w:r>
      <w:r w:rsidRPr="004B779A">
        <w:rPr>
          <w:rFonts w:ascii="Arial" w:eastAsia="Arial" w:hAnsi="Arial" w:cs="Arial"/>
          <w:spacing w:val="-2"/>
        </w:rPr>
        <w:t>v</w:t>
      </w:r>
      <w:r w:rsidRPr="004B779A">
        <w:rPr>
          <w:rFonts w:ascii="Arial" w:eastAsia="Arial" w:hAnsi="Arial" w:cs="Arial"/>
          <w:spacing w:val="1"/>
        </w:rPr>
        <w:t>ed</w:t>
      </w:r>
    </w:p>
    <w:p w:rsidR="009B209E" w:rsidRPr="004B779A" w:rsidRDefault="009B209E" w:rsidP="009B209E">
      <w:pPr>
        <w:pStyle w:val="ListParagraph"/>
        <w:numPr>
          <w:ilvl w:val="0"/>
          <w:numId w:val="3"/>
        </w:numPr>
        <w:tabs>
          <w:tab w:val="left" w:pos="940"/>
        </w:tabs>
        <w:spacing w:before="39" w:after="0" w:line="240" w:lineRule="auto"/>
        <w:ind w:right="-20"/>
        <w:jc w:val="both"/>
        <w:rPr>
          <w:rFonts w:ascii="Arial" w:eastAsia="Arial" w:hAnsi="Arial" w:cs="Arial"/>
        </w:rPr>
      </w:pPr>
      <w:r w:rsidRPr="004B779A">
        <w:rPr>
          <w:rFonts w:ascii="Arial" w:eastAsia="Arial" w:hAnsi="Arial" w:cs="Arial"/>
        </w:rPr>
        <w:t>O</w:t>
      </w:r>
      <w:r w:rsidRPr="004B779A">
        <w:rPr>
          <w:rFonts w:ascii="Arial" w:eastAsia="Arial" w:hAnsi="Arial" w:cs="Arial"/>
          <w:spacing w:val="1"/>
        </w:rPr>
        <w:t>u</w:t>
      </w:r>
      <w:r w:rsidRPr="004B779A">
        <w:rPr>
          <w:rFonts w:ascii="Arial" w:eastAsia="Arial" w:hAnsi="Arial" w:cs="Arial"/>
        </w:rPr>
        <w:t>tc</w:t>
      </w:r>
      <w:r w:rsidRPr="004B779A">
        <w:rPr>
          <w:rFonts w:ascii="Arial" w:eastAsia="Arial" w:hAnsi="Arial" w:cs="Arial"/>
          <w:spacing w:val="-1"/>
        </w:rPr>
        <w:t>o</w:t>
      </w:r>
      <w:r w:rsidRPr="004B779A">
        <w:rPr>
          <w:rFonts w:ascii="Arial" w:eastAsia="Arial" w:hAnsi="Arial" w:cs="Arial"/>
          <w:spacing w:val="1"/>
        </w:rPr>
        <w:t>m</w:t>
      </w:r>
      <w:r w:rsidRPr="004B779A">
        <w:rPr>
          <w:rFonts w:ascii="Arial" w:eastAsia="Arial" w:hAnsi="Arial" w:cs="Arial"/>
        </w:rPr>
        <w:t>e</w:t>
      </w:r>
      <w:r w:rsidRPr="004B779A">
        <w:rPr>
          <w:rFonts w:ascii="Arial" w:eastAsia="Arial" w:hAnsi="Arial" w:cs="Arial"/>
          <w:spacing w:val="-1"/>
        </w:rPr>
        <w:t xml:space="preserve"> </w:t>
      </w:r>
      <w:r w:rsidRPr="004B779A">
        <w:rPr>
          <w:rFonts w:ascii="Arial" w:eastAsia="Arial" w:hAnsi="Arial" w:cs="Arial"/>
          <w:spacing w:val="1"/>
        </w:rPr>
        <w:t>pa</w:t>
      </w:r>
      <w:r w:rsidRPr="004B779A">
        <w:rPr>
          <w:rFonts w:ascii="Arial" w:eastAsia="Arial" w:hAnsi="Arial" w:cs="Arial"/>
        </w:rPr>
        <w:t>rtially</w:t>
      </w:r>
      <w:r w:rsidRPr="004B779A">
        <w:rPr>
          <w:rFonts w:ascii="Arial" w:eastAsia="Arial" w:hAnsi="Arial" w:cs="Arial"/>
          <w:spacing w:val="-3"/>
        </w:rPr>
        <w:t xml:space="preserve"> </w:t>
      </w:r>
      <w:r w:rsidRPr="004B779A">
        <w:rPr>
          <w:rFonts w:ascii="Arial" w:eastAsia="Arial" w:hAnsi="Arial" w:cs="Arial"/>
          <w:spacing w:val="1"/>
        </w:rPr>
        <w:t>a</w:t>
      </w:r>
      <w:r w:rsidRPr="004B779A">
        <w:rPr>
          <w:rFonts w:ascii="Arial" w:eastAsia="Arial" w:hAnsi="Arial" w:cs="Arial"/>
        </w:rPr>
        <w:t>c</w:t>
      </w:r>
      <w:r w:rsidRPr="004B779A">
        <w:rPr>
          <w:rFonts w:ascii="Arial" w:eastAsia="Arial" w:hAnsi="Arial" w:cs="Arial"/>
          <w:spacing w:val="1"/>
        </w:rPr>
        <w:t>h</w:t>
      </w:r>
      <w:r w:rsidRPr="004B779A">
        <w:rPr>
          <w:rFonts w:ascii="Arial" w:eastAsia="Arial" w:hAnsi="Arial" w:cs="Arial"/>
          <w:spacing w:val="-3"/>
        </w:rPr>
        <w:t>i</w:t>
      </w:r>
      <w:r w:rsidRPr="004B779A">
        <w:rPr>
          <w:rFonts w:ascii="Arial" w:eastAsia="Arial" w:hAnsi="Arial" w:cs="Arial"/>
          <w:spacing w:val="1"/>
        </w:rPr>
        <w:t>e</w:t>
      </w:r>
      <w:r w:rsidRPr="004B779A">
        <w:rPr>
          <w:rFonts w:ascii="Arial" w:eastAsia="Arial" w:hAnsi="Arial" w:cs="Arial"/>
          <w:spacing w:val="-2"/>
        </w:rPr>
        <w:t>v</w:t>
      </w:r>
      <w:r w:rsidRPr="004B779A">
        <w:rPr>
          <w:rFonts w:ascii="Arial" w:eastAsia="Arial" w:hAnsi="Arial" w:cs="Arial"/>
          <w:spacing w:val="1"/>
        </w:rPr>
        <w:t>ed</w:t>
      </w:r>
    </w:p>
    <w:p w:rsidR="009B209E" w:rsidRPr="004B779A" w:rsidRDefault="009B209E" w:rsidP="009B209E">
      <w:pPr>
        <w:pStyle w:val="ListParagraph"/>
        <w:numPr>
          <w:ilvl w:val="0"/>
          <w:numId w:val="3"/>
        </w:numPr>
        <w:tabs>
          <w:tab w:val="left" w:pos="940"/>
        </w:tabs>
        <w:spacing w:before="39" w:after="0" w:line="240" w:lineRule="auto"/>
        <w:ind w:right="-20"/>
        <w:jc w:val="both"/>
        <w:rPr>
          <w:rFonts w:ascii="Arial" w:eastAsia="Arial" w:hAnsi="Arial" w:cs="Arial"/>
        </w:rPr>
      </w:pPr>
      <w:r w:rsidRPr="004B779A">
        <w:rPr>
          <w:rFonts w:ascii="Arial" w:eastAsia="Arial" w:hAnsi="Arial" w:cs="Arial"/>
        </w:rPr>
        <w:t>O</w:t>
      </w:r>
      <w:r w:rsidRPr="004B779A">
        <w:rPr>
          <w:rFonts w:ascii="Arial" w:eastAsia="Arial" w:hAnsi="Arial" w:cs="Arial"/>
          <w:spacing w:val="1"/>
        </w:rPr>
        <w:t>u</w:t>
      </w:r>
      <w:r w:rsidRPr="004B779A">
        <w:rPr>
          <w:rFonts w:ascii="Arial" w:eastAsia="Arial" w:hAnsi="Arial" w:cs="Arial"/>
        </w:rPr>
        <w:t>tc</w:t>
      </w:r>
      <w:r w:rsidRPr="004B779A">
        <w:rPr>
          <w:rFonts w:ascii="Arial" w:eastAsia="Arial" w:hAnsi="Arial" w:cs="Arial"/>
          <w:spacing w:val="-1"/>
        </w:rPr>
        <w:t>o</w:t>
      </w:r>
      <w:r w:rsidRPr="004B779A">
        <w:rPr>
          <w:rFonts w:ascii="Arial" w:eastAsia="Arial" w:hAnsi="Arial" w:cs="Arial"/>
          <w:spacing w:val="1"/>
        </w:rPr>
        <w:t>me</w:t>
      </w:r>
      <w:r w:rsidRPr="004B779A">
        <w:rPr>
          <w:rFonts w:ascii="Arial" w:eastAsia="Arial" w:hAnsi="Arial" w:cs="Arial"/>
        </w:rPr>
        <w:t>s</w:t>
      </w:r>
      <w:r w:rsidRPr="004B779A">
        <w:rPr>
          <w:rFonts w:ascii="Arial" w:eastAsia="Arial" w:hAnsi="Arial" w:cs="Arial"/>
          <w:spacing w:val="-2"/>
        </w:rPr>
        <w:t xml:space="preserve"> </w:t>
      </w:r>
      <w:r w:rsidRPr="004B779A">
        <w:rPr>
          <w:rFonts w:ascii="Arial" w:eastAsia="Arial" w:hAnsi="Arial" w:cs="Arial"/>
          <w:spacing w:val="1"/>
        </w:rPr>
        <w:t>no</w:t>
      </w:r>
      <w:r w:rsidRPr="004B779A">
        <w:rPr>
          <w:rFonts w:ascii="Arial" w:eastAsia="Arial" w:hAnsi="Arial" w:cs="Arial"/>
        </w:rPr>
        <w:t>t</w:t>
      </w:r>
      <w:r w:rsidRPr="004B779A">
        <w:rPr>
          <w:rFonts w:ascii="Arial" w:eastAsia="Arial" w:hAnsi="Arial" w:cs="Arial"/>
          <w:spacing w:val="-2"/>
        </w:rPr>
        <w:t xml:space="preserve"> </w:t>
      </w:r>
      <w:r w:rsidRPr="004B779A">
        <w:rPr>
          <w:rFonts w:ascii="Arial" w:eastAsia="Arial" w:hAnsi="Arial" w:cs="Arial"/>
          <w:spacing w:val="1"/>
        </w:rPr>
        <w:t>a</w:t>
      </w:r>
      <w:r w:rsidRPr="004B779A">
        <w:rPr>
          <w:rFonts w:ascii="Arial" w:eastAsia="Arial" w:hAnsi="Arial" w:cs="Arial"/>
        </w:rPr>
        <w:t>c</w:t>
      </w:r>
      <w:r w:rsidRPr="004B779A">
        <w:rPr>
          <w:rFonts w:ascii="Arial" w:eastAsia="Arial" w:hAnsi="Arial" w:cs="Arial"/>
          <w:spacing w:val="1"/>
        </w:rPr>
        <w:t>h</w:t>
      </w:r>
      <w:r w:rsidRPr="004B779A">
        <w:rPr>
          <w:rFonts w:ascii="Arial" w:eastAsia="Arial" w:hAnsi="Arial" w:cs="Arial"/>
          <w:spacing w:val="-3"/>
        </w:rPr>
        <w:t>i</w:t>
      </w:r>
      <w:r w:rsidRPr="004B779A">
        <w:rPr>
          <w:rFonts w:ascii="Arial" w:eastAsia="Arial" w:hAnsi="Arial" w:cs="Arial"/>
          <w:spacing w:val="1"/>
        </w:rPr>
        <w:t>e</w:t>
      </w:r>
      <w:r w:rsidRPr="004B779A">
        <w:rPr>
          <w:rFonts w:ascii="Arial" w:eastAsia="Arial" w:hAnsi="Arial" w:cs="Arial"/>
          <w:spacing w:val="-2"/>
        </w:rPr>
        <w:t>v</w:t>
      </w:r>
      <w:r w:rsidRPr="004B779A">
        <w:rPr>
          <w:rFonts w:ascii="Arial" w:eastAsia="Arial" w:hAnsi="Arial" w:cs="Arial"/>
          <w:spacing w:val="1"/>
        </w:rPr>
        <w:t>ed</w:t>
      </w:r>
    </w:p>
    <w:p w:rsidR="009B209E" w:rsidRPr="004B779A" w:rsidRDefault="009B209E" w:rsidP="009B209E">
      <w:pPr>
        <w:pStyle w:val="ListParagraph"/>
        <w:numPr>
          <w:ilvl w:val="0"/>
          <w:numId w:val="3"/>
        </w:numPr>
        <w:tabs>
          <w:tab w:val="left" w:pos="940"/>
        </w:tabs>
        <w:spacing w:before="39" w:after="0" w:line="240" w:lineRule="auto"/>
        <w:ind w:right="-20"/>
        <w:jc w:val="both"/>
        <w:rPr>
          <w:rFonts w:ascii="Arial" w:eastAsia="Arial" w:hAnsi="Arial" w:cs="Arial"/>
        </w:rPr>
      </w:pPr>
      <w:r w:rsidRPr="004B779A">
        <w:rPr>
          <w:rFonts w:ascii="Arial" w:eastAsia="Arial" w:hAnsi="Arial" w:cs="Arial"/>
        </w:rPr>
        <w:t>I</w:t>
      </w:r>
      <w:r w:rsidRPr="004B779A">
        <w:rPr>
          <w:rFonts w:ascii="Arial" w:eastAsia="Arial" w:hAnsi="Arial" w:cs="Arial"/>
          <w:spacing w:val="1"/>
        </w:rPr>
        <w:t>n</w:t>
      </w:r>
      <w:r w:rsidRPr="004B779A">
        <w:rPr>
          <w:rFonts w:ascii="Arial" w:eastAsia="Arial" w:hAnsi="Arial" w:cs="Arial"/>
          <w:spacing w:val="-2"/>
        </w:rPr>
        <w:t>v</w:t>
      </w:r>
      <w:r w:rsidRPr="004B779A">
        <w:rPr>
          <w:rFonts w:ascii="Arial" w:eastAsia="Arial" w:hAnsi="Arial" w:cs="Arial"/>
          <w:spacing w:val="1"/>
        </w:rPr>
        <w:t>e</w:t>
      </w:r>
      <w:r w:rsidRPr="004B779A">
        <w:rPr>
          <w:rFonts w:ascii="Arial" w:eastAsia="Arial" w:hAnsi="Arial" w:cs="Arial"/>
        </w:rPr>
        <w:t>sti</w:t>
      </w:r>
      <w:r w:rsidRPr="004B779A">
        <w:rPr>
          <w:rFonts w:ascii="Arial" w:eastAsia="Arial" w:hAnsi="Arial" w:cs="Arial"/>
          <w:spacing w:val="-1"/>
        </w:rPr>
        <w:t>g</w:t>
      </w:r>
      <w:r w:rsidRPr="004B779A">
        <w:rPr>
          <w:rFonts w:ascii="Arial" w:eastAsia="Arial" w:hAnsi="Arial" w:cs="Arial"/>
          <w:spacing w:val="1"/>
        </w:rPr>
        <w:t>a</w:t>
      </w:r>
      <w:r w:rsidRPr="004B779A">
        <w:rPr>
          <w:rFonts w:ascii="Arial" w:eastAsia="Arial" w:hAnsi="Arial" w:cs="Arial"/>
        </w:rPr>
        <w:t>ti</w:t>
      </w:r>
      <w:r w:rsidRPr="004B779A">
        <w:rPr>
          <w:rFonts w:ascii="Arial" w:eastAsia="Arial" w:hAnsi="Arial" w:cs="Arial"/>
          <w:spacing w:val="1"/>
        </w:rPr>
        <w:t>o</w:t>
      </w:r>
      <w:r w:rsidRPr="004B779A">
        <w:rPr>
          <w:rFonts w:ascii="Arial" w:eastAsia="Arial" w:hAnsi="Arial" w:cs="Arial"/>
        </w:rPr>
        <w:t>n</w:t>
      </w:r>
      <w:r w:rsidRPr="004B779A">
        <w:rPr>
          <w:rFonts w:ascii="Arial" w:eastAsia="Arial" w:hAnsi="Arial" w:cs="Arial"/>
          <w:spacing w:val="1"/>
        </w:rPr>
        <w:t xml:space="preserve"> </w:t>
      </w:r>
      <w:r w:rsidRPr="004B779A">
        <w:rPr>
          <w:rFonts w:ascii="Arial" w:eastAsia="Arial" w:hAnsi="Arial" w:cs="Arial"/>
        </w:rPr>
        <w:t>c</w:t>
      </w:r>
      <w:r w:rsidRPr="004B779A">
        <w:rPr>
          <w:rFonts w:ascii="Arial" w:eastAsia="Arial" w:hAnsi="Arial" w:cs="Arial"/>
          <w:spacing w:val="1"/>
        </w:rPr>
        <w:t>ea</w:t>
      </w:r>
      <w:r w:rsidRPr="004B779A">
        <w:rPr>
          <w:rFonts w:ascii="Arial" w:eastAsia="Arial" w:hAnsi="Arial" w:cs="Arial"/>
          <w:spacing w:val="-2"/>
        </w:rPr>
        <w:t>s</w:t>
      </w:r>
      <w:r w:rsidRPr="004B779A">
        <w:rPr>
          <w:rFonts w:ascii="Arial" w:eastAsia="Arial" w:hAnsi="Arial" w:cs="Arial"/>
          <w:spacing w:val="1"/>
        </w:rPr>
        <w:t>e</w:t>
      </w:r>
      <w:r w:rsidRPr="004B779A">
        <w:rPr>
          <w:rFonts w:ascii="Arial" w:eastAsia="Arial" w:hAnsi="Arial" w:cs="Arial"/>
        </w:rPr>
        <w:t>d</w:t>
      </w:r>
      <w:r w:rsidRPr="004B779A">
        <w:rPr>
          <w:rFonts w:ascii="Arial" w:eastAsia="Arial" w:hAnsi="Arial" w:cs="Arial"/>
          <w:spacing w:val="-1"/>
        </w:rPr>
        <w:t xml:space="preserve"> </w:t>
      </w:r>
      <w:r w:rsidRPr="004B779A">
        <w:rPr>
          <w:rFonts w:ascii="Arial" w:eastAsia="Arial" w:hAnsi="Arial" w:cs="Arial"/>
          <w:spacing w:val="1"/>
        </w:rPr>
        <w:t>a</w:t>
      </w:r>
      <w:r w:rsidRPr="004B779A">
        <w:rPr>
          <w:rFonts w:ascii="Arial" w:eastAsia="Arial" w:hAnsi="Arial" w:cs="Arial"/>
        </w:rPr>
        <w:t>t</w:t>
      </w:r>
      <w:r w:rsidRPr="004B779A">
        <w:rPr>
          <w:rFonts w:ascii="Arial" w:eastAsia="Arial" w:hAnsi="Arial" w:cs="Arial"/>
          <w:spacing w:val="-2"/>
        </w:rPr>
        <w:t xml:space="preserve"> </w:t>
      </w:r>
      <w:r w:rsidRPr="004B779A">
        <w:rPr>
          <w:rFonts w:ascii="Arial" w:eastAsia="Arial" w:hAnsi="Arial" w:cs="Arial"/>
        </w:rPr>
        <w:t>i</w:t>
      </w:r>
      <w:r w:rsidRPr="004B779A">
        <w:rPr>
          <w:rFonts w:ascii="Arial" w:eastAsia="Arial" w:hAnsi="Arial" w:cs="Arial"/>
          <w:spacing w:val="1"/>
        </w:rPr>
        <w:t>nd</w:t>
      </w:r>
      <w:r w:rsidRPr="004B779A">
        <w:rPr>
          <w:rFonts w:ascii="Arial" w:eastAsia="Arial" w:hAnsi="Arial" w:cs="Arial"/>
        </w:rPr>
        <w:t>i</w:t>
      </w:r>
      <w:r w:rsidRPr="004B779A">
        <w:rPr>
          <w:rFonts w:ascii="Arial" w:eastAsia="Arial" w:hAnsi="Arial" w:cs="Arial"/>
          <w:spacing w:val="-3"/>
        </w:rPr>
        <w:t>v</w:t>
      </w:r>
      <w:r w:rsidRPr="004B779A">
        <w:rPr>
          <w:rFonts w:ascii="Arial" w:eastAsia="Arial" w:hAnsi="Arial" w:cs="Arial"/>
        </w:rPr>
        <w:t>id</w:t>
      </w:r>
      <w:r w:rsidRPr="004B779A">
        <w:rPr>
          <w:rFonts w:ascii="Arial" w:eastAsia="Arial" w:hAnsi="Arial" w:cs="Arial"/>
          <w:spacing w:val="1"/>
        </w:rPr>
        <w:t>ua</w:t>
      </w:r>
      <w:r w:rsidRPr="004B779A">
        <w:rPr>
          <w:rFonts w:ascii="Arial" w:eastAsia="Arial" w:hAnsi="Arial" w:cs="Arial"/>
        </w:rPr>
        <w:t>l</w:t>
      </w:r>
      <w:r w:rsidRPr="004B779A">
        <w:rPr>
          <w:rFonts w:ascii="Arial" w:eastAsia="Arial" w:hAnsi="Arial" w:cs="Arial"/>
          <w:spacing w:val="-1"/>
        </w:rPr>
        <w:t>’</w:t>
      </w:r>
      <w:r w:rsidRPr="004B779A">
        <w:rPr>
          <w:rFonts w:ascii="Arial" w:eastAsia="Arial" w:hAnsi="Arial" w:cs="Arial"/>
        </w:rPr>
        <w:t>s re</w:t>
      </w:r>
      <w:r w:rsidRPr="004B779A">
        <w:rPr>
          <w:rFonts w:ascii="Arial" w:eastAsia="Arial" w:hAnsi="Arial" w:cs="Arial"/>
          <w:spacing w:val="-1"/>
        </w:rPr>
        <w:t>q</w:t>
      </w:r>
      <w:r w:rsidRPr="004B779A">
        <w:rPr>
          <w:rFonts w:ascii="Arial" w:eastAsia="Arial" w:hAnsi="Arial" w:cs="Arial"/>
          <w:spacing w:val="1"/>
        </w:rPr>
        <w:t>ue</w:t>
      </w:r>
      <w:r w:rsidRPr="004B779A">
        <w:rPr>
          <w:rFonts w:ascii="Arial" w:eastAsia="Arial" w:hAnsi="Arial" w:cs="Arial"/>
        </w:rPr>
        <w:t xml:space="preserve">st or </w:t>
      </w:r>
    </w:p>
    <w:p w:rsidR="009B209E" w:rsidRPr="004B779A" w:rsidRDefault="009B209E" w:rsidP="009B209E">
      <w:pPr>
        <w:pStyle w:val="ListParagraph"/>
        <w:numPr>
          <w:ilvl w:val="0"/>
          <w:numId w:val="3"/>
        </w:numPr>
        <w:tabs>
          <w:tab w:val="left" w:pos="940"/>
        </w:tabs>
        <w:spacing w:before="42" w:after="0" w:line="240" w:lineRule="auto"/>
        <w:ind w:right="-20"/>
        <w:jc w:val="both"/>
        <w:rPr>
          <w:rFonts w:ascii="Arial" w:eastAsia="Arial" w:hAnsi="Arial" w:cs="Arial"/>
        </w:rPr>
      </w:pPr>
      <w:r w:rsidRPr="004B779A">
        <w:rPr>
          <w:rFonts w:ascii="Arial" w:eastAsia="Arial" w:hAnsi="Arial" w:cs="Arial"/>
        </w:rPr>
        <w:t>Not</w:t>
      </w:r>
      <w:r w:rsidRPr="004B779A">
        <w:rPr>
          <w:rFonts w:ascii="Arial" w:eastAsia="Arial" w:hAnsi="Arial" w:cs="Arial"/>
          <w:spacing w:val="1"/>
        </w:rPr>
        <w:t xml:space="preserve"> a</w:t>
      </w:r>
      <w:r w:rsidRPr="004B779A">
        <w:rPr>
          <w:rFonts w:ascii="Arial" w:eastAsia="Arial" w:hAnsi="Arial" w:cs="Arial"/>
          <w:spacing w:val="-1"/>
        </w:rPr>
        <w:t>p</w:t>
      </w:r>
      <w:r w:rsidRPr="004B779A">
        <w:rPr>
          <w:rFonts w:ascii="Arial" w:eastAsia="Arial" w:hAnsi="Arial" w:cs="Arial"/>
          <w:spacing w:val="1"/>
        </w:rPr>
        <w:t>p</w:t>
      </w:r>
      <w:r w:rsidRPr="004B779A">
        <w:rPr>
          <w:rFonts w:ascii="Arial" w:eastAsia="Arial" w:hAnsi="Arial" w:cs="Arial"/>
        </w:rPr>
        <w:t>l</w:t>
      </w:r>
      <w:r w:rsidRPr="004B779A">
        <w:rPr>
          <w:rFonts w:ascii="Arial" w:eastAsia="Arial" w:hAnsi="Arial" w:cs="Arial"/>
          <w:spacing w:val="-1"/>
        </w:rPr>
        <w:t>i</w:t>
      </w:r>
      <w:r w:rsidRPr="004B779A">
        <w:rPr>
          <w:rFonts w:ascii="Arial" w:eastAsia="Arial" w:hAnsi="Arial" w:cs="Arial"/>
        </w:rPr>
        <w:t>c</w:t>
      </w:r>
      <w:r w:rsidRPr="004B779A">
        <w:rPr>
          <w:rFonts w:ascii="Arial" w:eastAsia="Arial" w:hAnsi="Arial" w:cs="Arial"/>
          <w:spacing w:val="1"/>
        </w:rPr>
        <w:t>ab</w:t>
      </w:r>
      <w:r w:rsidRPr="004B779A">
        <w:rPr>
          <w:rFonts w:ascii="Arial" w:eastAsia="Arial" w:hAnsi="Arial" w:cs="Arial"/>
        </w:rPr>
        <w:t>le.</w:t>
      </w:r>
    </w:p>
    <w:p w:rsidR="009B209E" w:rsidRPr="004B779A" w:rsidRDefault="009B209E" w:rsidP="009B209E">
      <w:pPr>
        <w:spacing w:before="43" w:after="0" w:line="275" w:lineRule="auto"/>
        <w:ind w:right="58"/>
        <w:jc w:val="both"/>
        <w:rPr>
          <w:rFonts w:ascii="Arial" w:eastAsia="Arial" w:hAnsi="Arial" w:cs="Arial"/>
        </w:rPr>
      </w:pPr>
    </w:p>
    <w:p w:rsidR="009B209E" w:rsidRPr="004B779A" w:rsidRDefault="009B209E" w:rsidP="009B209E">
      <w:pPr>
        <w:spacing w:before="43" w:after="0" w:line="275" w:lineRule="auto"/>
        <w:ind w:right="58"/>
        <w:jc w:val="both"/>
        <w:rPr>
          <w:rFonts w:ascii="Arial" w:eastAsia="Arial" w:hAnsi="Arial" w:cs="Arial"/>
        </w:rPr>
      </w:pPr>
      <w:r w:rsidRPr="004B779A">
        <w:rPr>
          <w:rFonts w:ascii="Arial" w:eastAsia="Arial" w:hAnsi="Arial" w:cs="Arial"/>
          <w:spacing w:val="1"/>
        </w:rPr>
        <w:t xml:space="preserve">This is therefore the last year we report on </w:t>
      </w:r>
      <w:r w:rsidRPr="004B779A">
        <w:rPr>
          <w:rFonts w:ascii="Arial" w:eastAsia="Arial" w:hAnsi="Arial" w:cs="Arial"/>
          <w:spacing w:val="-1"/>
        </w:rPr>
        <w:t xml:space="preserve">outcomes for cases </w:t>
      </w:r>
      <w:r w:rsidRPr="004B779A">
        <w:rPr>
          <w:rFonts w:ascii="Arial" w:eastAsia="Arial" w:hAnsi="Arial" w:cs="Arial"/>
          <w:spacing w:val="1"/>
        </w:rPr>
        <w:t>e</w:t>
      </w:r>
      <w:r w:rsidRPr="004B779A">
        <w:rPr>
          <w:rFonts w:ascii="Arial" w:eastAsia="Arial" w:hAnsi="Arial" w:cs="Arial"/>
        </w:rPr>
        <w:t>it</w:t>
      </w:r>
      <w:r w:rsidRPr="004B779A">
        <w:rPr>
          <w:rFonts w:ascii="Arial" w:eastAsia="Arial" w:hAnsi="Arial" w:cs="Arial"/>
          <w:spacing w:val="1"/>
        </w:rPr>
        <w:t>he</w:t>
      </w:r>
      <w:r w:rsidRPr="004B779A">
        <w:rPr>
          <w:rFonts w:ascii="Arial" w:eastAsia="Arial" w:hAnsi="Arial" w:cs="Arial"/>
        </w:rPr>
        <w:t>r</w:t>
      </w:r>
      <w:r w:rsidRPr="004B779A">
        <w:rPr>
          <w:rFonts w:ascii="Arial" w:eastAsia="Arial" w:hAnsi="Arial" w:cs="Arial"/>
          <w:spacing w:val="2"/>
        </w:rPr>
        <w:t xml:space="preserve"> </w:t>
      </w:r>
      <w:r w:rsidRPr="004B779A">
        <w:rPr>
          <w:rFonts w:ascii="Arial" w:eastAsia="Arial" w:hAnsi="Arial" w:cs="Arial"/>
        </w:rPr>
        <w:t>s</w:t>
      </w:r>
      <w:r w:rsidRPr="004B779A">
        <w:rPr>
          <w:rFonts w:ascii="Arial" w:eastAsia="Arial" w:hAnsi="Arial" w:cs="Arial"/>
          <w:spacing w:val="1"/>
        </w:rPr>
        <w:t>ub</w:t>
      </w:r>
      <w:r w:rsidRPr="004B779A">
        <w:rPr>
          <w:rFonts w:ascii="Arial" w:eastAsia="Arial" w:hAnsi="Arial" w:cs="Arial"/>
        </w:rPr>
        <w:t>s</w:t>
      </w:r>
      <w:r w:rsidRPr="004B779A">
        <w:rPr>
          <w:rFonts w:ascii="Arial" w:eastAsia="Arial" w:hAnsi="Arial" w:cs="Arial"/>
          <w:spacing w:val="-2"/>
        </w:rPr>
        <w:t>t</w:t>
      </w:r>
      <w:r w:rsidRPr="004B779A">
        <w:rPr>
          <w:rFonts w:ascii="Arial" w:eastAsia="Arial" w:hAnsi="Arial" w:cs="Arial"/>
          <w:spacing w:val="1"/>
        </w:rPr>
        <w:t>an</w:t>
      </w:r>
      <w:r w:rsidRPr="004B779A">
        <w:rPr>
          <w:rFonts w:ascii="Arial" w:eastAsia="Arial" w:hAnsi="Arial" w:cs="Arial"/>
        </w:rPr>
        <w:t>t</w:t>
      </w:r>
      <w:r w:rsidRPr="004B779A">
        <w:rPr>
          <w:rFonts w:ascii="Arial" w:eastAsia="Arial" w:hAnsi="Arial" w:cs="Arial"/>
          <w:spacing w:val="-2"/>
        </w:rPr>
        <w:t>i</w:t>
      </w:r>
      <w:r w:rsidRPr="004B779A">
        <w:rPr>
          <w:rFonts w:ascii="Arial" w:eastAsia="Arial" w:hAnsi="Arial" w:cs="Arial"/>
          <w:spacing w:val="1"/>
        </w:rPr>
        <w:t>a</w:t>
      </w:r>
      <w:r w:rsidRPr="004B779A">
        <w:rPr>
          <w:rFonts w:ascii="Arial" w:eastAsia="Arial" w:hAnsi="Arial" w:cs="Arial"/>
        </w:rPr>
        <w:t>t</w:t>
      </w:r>
      <w:r w:rsidRPr="004B779A">
        <w:rPr>
          <w:rFonts w:ascii="Arial" w:eastAsia="Arial" w:hAnsi="Arial" w:cs="Arial"/>
          <w:spacing w:val="-1"/>
        </w:rPr>
        <w:t>e</w:t>
      </w:r>
      <w:r w:rsidRPr="004B779A">
        <w:rPr>
          <w:rFonts w:ascii="Arial" w:eastAsia="Arial" w:hAnsi="Arial" w:cs="Arial"/>
          <w:spacing w:val="1"/>
        </w:rPr>
        <w:t>d</w:t>
      </w:r>
      <w:r w:rsidRPr="004B779A">
        <w:rPr>
          <w:rFonts w:ascii="Arial" w:eastAsia="Arial" w:hAnsi="Arial" w:cs="Arial"/>
        </w:rPr>
        <w:t xml:space="preserve">, </w:t>
      </w:r>
      <w:r w:rsidRPr="004B779A">
        <w:rPr>
          <w:rFonts w:ascii="Arial" w:eastAsia="Arial" w:hAnsi="Arial" w:cs="Arial"/>
          <w:spacing w:val="1"/>
        </w:rPr>
        <w:t>un</w:t>
      </w:r>
      <w:r w:rsidRPr="004B779A">
        <w:rPr>
          <w:rFonts w:ascii="Arial" w:eastAsia="Arial" w:hAnsi="Arial" w:cs="Arial"/>
        </w:rPr>
        <w:t>s</w:t>
      </w:r>
      <w:r w:rsidRPr="004B779A">
        <w:rPr>
          <w:rFonts w:ascii="Arial" w:eastAsia="Arial" w:hAnsi="Arial" w:cs="Arial"/>
          <w:spacing w:val="-1"/>
        </w:rPr>
        <w:t>u</w:t>
      </w:r>
      <w:r w:rsidRPr="004B779A">
        <w:rPr>
          <w:rFonts w:ascii="Arial" w:eastAsia="Arial" w:hAnsi="Arial" w:cs="Arial"/>
          <w:spacing w:val="1"/>
        </w:rPr>
        <w:t>b</w:t>
      </w:r>
      <w:r w:rsidRPr="004B779A">
        <w:rPr>
          <w:rFonts w:ascii="Arial" w:eastAsia="Arial" w:hAnsi="Arial" w:cs="Arial"/>
        </w:rPr>
        <w:t>st</w:t>
      </w:r>
      <w:r w:rsidRPr="004B779A">
        <w:rPr>
          <w:rFonts w:ascii="Arial" w:eastAsia="Arial" w:hAnsi="Arial" w:cs="Arial"/>
          <w:spacing w:val="1"/>
        </w:rPr>
        <w:t>a</w:t>
      </w:r>
      <w:r w:rsidRPr="004B779A">
        <w:rPr>
          <w:rFonts w:ascii="Arial" w:eastAsia="Arial" w:hAnsi="Arial" w:cs="Arial"/>
          <w:spacing w:val="-1"/>
        </w:rPr>
        <w:t>n</w:t>
      </w:r>
      <w:r w:rsidRPr="004B779A">
        <w:rPr>
          <w:rFonts w:ascii="Arial" w:eastAsia="Arial" w:hAnsi="Arial" w:cs="Arial"/>
        </w:rPr>
        <w:t>ti</w:t>
      </w:r>
      <w:r w:rsidRPr="004B779A">
        <w:rPr>
          <w:rFonts w:ascii="Arial" w:eastAsia="Arial" w:hAnsi="Arial" w:cs="Arial"/>
          <w:spacing w:val="1"/>
        </w:rPr>
        <w:t>a</w:t>
      </w:r>
      <w:r w:rsidRPr="004B779A">
        <w:rPr>
          <w:rFonts w:ascii="Arial" w:eastAsia="Arial" w:hAnsi="Arial" w:cs="Arial"/>
        </w:rPr>
        <w:t>t</w:t>
      </w:r>
      <w:r w:rsidRPr="004B779A">
        <w:rPr>
          <w:rFonts w:ascii="Arial" w:eastAsia="Arial" w:hAnsi="Arial" w:cs="Arial"/>
          <w:spacing w:val="-1"/>
        </w:rPr>
        <w:t>e</w:t>
      </w:r>
      <w:r w:rsidRPr="004B779A">
        <w:rPr>
          <w:rFonts w:ascii="Arial" w:eastAsia="Arial" w:hAnsi="Arial" w:cs="Arial"/>
        </w:rPr>
        <w:t>d</w:t>
      </w:r>
      <w:r w:rsidRPr="004B779A">
        <w:rPr>
          <w:rFonts w:ascii="Arial" w:eastAsia="Arial" w:hAnsi="Arial" w:cs="Arial"/>
          <w:spacing w:val="2"/>
        </w:rPr>
        <w:t xml:space="preserve"> </w:t>
      </w:r>
      <w:r w:rsidRPr="004B779A">
        <w:rPr>
          <w:rFonts w:ascii="Arial" w:eastAsia="Arial" w:hAnsi="Arial" w:cs="Arial"/>
          <w:spacing w:val="1"/>
        </w:rPr>
        <w:t>o</w:t>
      </w:r>
      <w:r w:rsidRPr="004B779A">
        <w:rPr>
          <w:rFonts w:ascii="Arial" w:eastAsia="Arial" w:hAnsi="Arial" w:cs="Arial"/>
        </w:rPr>
        <w:t>r</w:t>
      </w:r>
      <w:r w:rsidRPr="004B779A">
        <w:rPr>
          <w:rFonts w:ascii="Arial" w:eastAsia="Arial" w:hAnsi="Arial" w:cs="Arial"/>
          <w:spacing w:val="1"/>
        </w:rPr>
        <w:t xml:space="preserve"> </w:t>
      </w:r>
      <w:r w:rsidRPr="004B779A">
        <w:rPr>
          <w:rFonts w:ascii="Arial" w:eastAsia="Arial" w:hAnsi="Arial" w:cs="Arial"/>
          <w:spacing w:val="-2"/>
        </w:rPr>
        <w:t>s</w:t>
      </w:r>
      <w:r w:rsidRPr="004B779A">
        <w:rPr>
          <w:rFonts w:ascii="Arial" w:eastAsia="Arial" w:hAnsi="Arial" w:cs="Arial"/>
          <w:spacing w:val="1"/>
        </w:rPr>
        <w:t>om</w:t>
      </w:r>
      <w:r w:rsidRPr="004B779A">
        <w:rPr>
          <w:rFonts w:ascii="Arial" w:eastAsia="Arial" w:hAnsi="Arial" w:cs="Arial"/>
          <w:spacing w:val="-1"/>
        </w:rPr>
        <w:t>e</w:t>
      </w:r>
      <w:r w:rsidRPr="004B779A">
        <w:rPr>
          <w:rFonts w:ascii="Arial" w:eastAsia="Arial" w:hAnsi="Arial" w:cs="Arial"/>
        </w:rPr>
        <w:t>t</w:t>
      </w:r>
      <w:r w:rsidRPr="004B779A">
        <w:rPr>
          <w:rFonts w:ascii="Arial" w:eastAsia="Arial" w:hAnsi="Arial" w:cs="Arial"/>
          <w:spacing w:val="1"/>
        </w:rPr>
        <w:t>h</w:t>
      </w:r>
      <w:r w:rsidRPr="004B779A">
        <w:rPr>
          <w:rFonts w:ascii="Arial" w:eastAsia="Arial" w:hAnsi="Arial" w:cs="Arial"/>
        </w:rPr>
        <w:t>ing</w:t>
      </w:r>
      <w:r w:rsidRPr="004B779A">
        <w:rPr>
          <w:rFonts w:ascii="Arial" w:eastAsia="Arial" w:hAnsi="Arial" w:cs="Arial"/>
          <w:spacing w:val="1"/>
        </w:rPr>
        <w:t xml:space="preserve"> b</w:t>
      </w:r>
      <w:r w:rsidRPr="004B779A">
        <w:rPr>
          <w:rFonts w:ascii="Arial" w:eastAsia="Arial" w:hAnsi="Arial" w:cs="Arial"/>
          <w:spacing w:val="-1"/>
        </w:rPr>
        <w:t>e</w:t>
      </w:r>
      <w:r w:rsidRPr="004B779A">
        <w:rPr>
          <w:rFonts w:ascii="Arial" w:eastAsia="Arial" w:hAnsi="Arial" w:cs="Arial"/>
        </w:rPr>
        <w:t>t</w:t>
      </w:r>
      <w:r w:rsidRPr="004B779A">
        <w:rPr>
          <w:rFonts w:ascii="Arial" w:eastAsia="Arial" w:hAnsi="Arial" w:cs="Arial"/>
          <w:spacing w:val="-2"/>
        </w:rPr>
        <w:t>w</w:t>
      </w:r>
      <w:r w:rsidRPr="004B779A">
        <w:rPr>
          <w:rFonts w:ascii="Arial" w:eastAsia="Arial" w:hAnsi="Arial" w:cs="Arial"/>
          <w:spacing w:val="1"/>
        </w:rPr>
        <w:t>een</w:t>
      </w:r>
      <w:r w:rsidRPr="004B779A">
        <w:rPr>
          <w:rFonts w:ascii="Arial" w:eastAsia="Arial" w:hAnsi="Arial" w:cs="Arial"/>
        </w:rPr>
        <w:t xml:space="preserve">. Although this is what is currently collected, be assured that all adults are asked about their choices and desired outcomes in terms of their safeguarding. See Table 7 below. </w:t>
      </w:r>
    </w:p>
    <w:p w:rsidR="009B209E" w:rsidRPr="004B779A" w:rsidRDefault="009B209E" w:rsidP="009B209E">
      <w:pPr>
        <w:spacing w:after="0" w:line="120" w:lineRule="exact"/>
        <w:jc w:val="both"/>
        <w:rPr>
          <w:rFonts w:ascii="Arial" w:hAnsi="Arial" w:cs="Arial"/>
        </w:rPr>
      </w:pPr>
    </w:p>
    <w:p w:rsidR="009B209E" w:rsidRPr="004B779A" w:rsidRDefault="009B209E" w:rsidP="009B209E">
      <w:pPr>
        <w:spacing w:after="0" w:line="200" w:lineRule="exact"/>
        <w:jc w:val="both"/>
        <w:rPr>
          <w:rFonts w:ascii="Arial" w:hAnsi="Arial" w:cs="Arial"/>
        </w:rPr>
      </w:pPr>
    </w:p>
    <w:tbl>
      <w:tblPr>
        <w:tblStyle w:val="LightList-Accent3"/>
        <w:tblW w:w="0" w:type="auto"/>
        <w:tblLayout w:type="fixed"/>
        <w:tblLook w:val="01E0" w:firstRow="1" w:lastRow="1" w:firstColumn="1" w:lastColumn="1" w:noHBand="0" w:noVBand="0"/>
      </w:tblPr>
      <w:tblGrid>
        <w:gridCol w:w="7034"/>
        <w:gridCol w:w="852"/>
        <w:gridCol w:w="1333"/>
      </w:tblGrid>
      <w:tr w:rsidR="009340AA" w:rsidRPr="009340AA" w:rsidTr="004B779A">
        <w:trPr>
          <w:cnfStyle w:val="100000000000" w:firstRow="1" w:lastRow="0" w:firstColumn="0" w:lastColumn="0" w:oddVBand="0" w:evenVBand="0" w:oddHBand="0" w:evenHBand="0" w:firstRowFirstColumn="0" w:firstRowLastColumn="0" w:lastRowFirstColumn="0" w:lastRowLastColumn="0"/>
          <w:trHeight w:hRule="exact" w:val="733"/>
        </w:trPr>
        <w:tc>
          <w:tcPr>
            <w:cnfStyle w:val="001000000000" w:firstRow="0" w:lastRow="0" w:firstColumn="1" w:lastColumn="0" w:oddVBand="0" w:evenVBand="0" w:oddHBand="0" w:evenHBand="0" w:firstRowFirstColumn="0" w:firstRowLastColumn="0" w:lastRowFirstColumn="0" w:lastRowLastColumn="0"/>
            <w:tcW w:w="7034" w:type="dxa"/>
          </w:tcPr>
          <w:p w:rsidR="004B779A" w:rsidRPr="009340AA" w:rsidRDefault="004B779A" w:rsidP="00593EB4">
            <w:pPr>
              <w:spacing w:before="4"/>
              <w:ind w:left="102" w:right="-20"/>
              <w:jc w:val="both"/>
              <w:rPr>
                <w:rFonts w:eastAsia="Arial" w:cs="Arial"/>
                <w:bCs w:val="0"/>
              </w:rPr>
            </w:pPr>
            <w:r w:rsidRPr="009340AA">
              <w:rPr>
                <w:rFonts w:eastAsia="Arial" w:cs="Arial"/>
                <w:bCs w:val="0"/>
              </w:rPr>
              <w:t>TABLE 7</w:t>
            </w:r>
          </w:p>
          <w:p w:rsidR="009B209E" w:rsidRPr="009340AA" w:rsidRDefault="009B209E" w:rsidP="00593EB4">
            <w:pPr>
              <w:spacing w:before="4"/>
              <w:ind w:left="102" w:right="-20"/>
              <w:jc w:val="both"/>
              <w:rPr>
                <w:rFonts w:eastAsia="Arial" w:cs="Arial"/>
              </w:rPr>
            </w:pPr>
            <w:r w:rsidRPr="009340AA">
              <w:rPr>
                <w:rFonts w:eastAsia="Arial" w:cs="Arial"/>
                <w:bCs w:val="0"/>
              </w:rPr>
              <w:t>Outcome</w:t>
            </w:r>
            <w:r w:rsidRPr="009340AA">
              <w:rPr>
                <w:rFonts w:eastAsia="Arial" w:cs="Arial"/>
                <w:bCs w:val="0"/>
                <w:spacing w:val="1"/>
              </w:rPr>
              <w:t xml:space="preserve"> </w:t>
            </w:r>
            <w:r w:rsidRPr="009340AA">
              <w:rPr>
                <w:rFonts w:eastAsia="Arial" w:cs="Arial"/>
                <w:bCs w:val="0"/>
              </w:rPr>
              <w:t>qu</w:t>
            </w:r>
            <w:r w:rsidRPr="009340AA">
              <w:rPr>
                <w:rFonts w:eastAsia="Arial" w:cs="Arial"/>
                <w:bCs w:val="0"/>
                <w:spacing w:val="1"/>
              </w:rPr>
              <w:t>es</w:t>
            </w:r>
            <w:r w:rsidRPr="009340AA">
              <w:rPr>
                <w:rFonts w:eastAsia="Arial" w:cs="Arial"/>
                <w:bCs w:val="0"/>
              </w:rPr>
              <w:t>tion</w:t>
            </w:r>
          </w:p>
        </w:tc>
        <w:tc>
          <w:tcPr>
            <w:cnfStyle w:val="000010000000" w:firstRow="0" w:lastRow="0" w:firstColumn="0" w:lastColumn="0" w:oddVBand="1" w:evenVBand="0" w:oddHBand="0" w:evenHBand="0" w:firstRowFirstColumn="0" w:firstRowLastColumn="0" w:lastRowFirstColumn="0" w:lastRowLastColumn="0"/>
            <w:tcW w:w="852" w:type="dxa"/>
          </w:tcPr>
          <w:p w:rsidR="009B209E" w:rsidRPr="009340AA" w:rsidRDefault="009B209E" w:rsidP="00593EB4">
            <w:pPr>
              <w:spacing w:before="4"/>
              <w:ind w:left="102" w:right="-20"/>
              <w:jc w:val="both"/>
              <w:rPr>
                <w:rFonts w:eastAsia="Arial" w:cs="Arial"/>
              </w:rPr>
            </w:pPr>
            <w:r w:rsidRPr="009340AA">
              <w:rPr>
                <w:rFonts w:eastAsia="Arial" w:cs="Arial"/>
                <w:bCs w:val="0"/>
              </w:rPr>
              <w:t>To</w:t>
            </w:r>
            <w:r w:rsidRPr="009340AA">
              <w:rPr>
                <w:rFonts w:eastAsia="Arial" w:cs="Arial"/>
                <w:bCs w:val="0"/>
                <w:spacing w:val="-1"/>
              </w:rPr>
              <w:t>t</w:t>
            </w:r>
            <w:r w:rsidRPr="009340AA">
              <w:rPr>
                <w:rFonts w:eastAsia="Arial" w:cs="Arial"/>
                <w:bCs w:val="0"/>
                <w:spacing w:val="1"/>
              </w:rPr>
              <w:t>a</w:t>
            </w:r>
            <w:r w:rsidRPr="009340AA">
              <w:rPr>
                <w:rFonts w:eastAsia="Arial" w:cs="Arial"/>
                <w:bCs w:val="0"/>
              </w:rPr>
              <w:t>l</w:t>
            </w:r>
          </w:p>
        </w:tc>
        <w:tc>
          <w:tcPr>
            <w:cnfStyle w:val="000100000000" w:firstRow="0" w:lastRow="0" w:firstColumn="0" w:lastColumn="1" w:oddVBand="0" w:evenVBand="0" w:oddHBand="0" w:evenHBand="0" w:firstRowFirstColumn="0" w:firstRowLastColumn="0" w:lastRowFirstColumn="0" w:lastRowLastColumn="0"/>
            <w:tcW w:w="1333" w:type="dxa"/>
          </w:tcPr>
          <w:p w:rsidR="009B209E" w:rsidRPr="009340AA" w:rsidRDefault="009B209E" w:rsidP="00593EB4">
            <w:pPr>
              <w:spacing w:before="9"/>
              <w:ind w:left="102" w:right="-20"/>
              <w:jc w:val="both"/>
              <w:rPr>
                <w:rFonts w:eastAsia="Arial" w:cs="Arial"/>
              </w:rPr>
            </w:pPr>
            <w:r w:rsidRPr="009340AA">
              <w:rPr>
                <w:rFonts w:eastAsia="Arial" w:cs="Arial"/>
                <w:bCs w:val="0"/>
              </w:rPr>
              <w:t>%</w:t>
            </w:r>
          </w:p>
        </w:tc>
      </w:tr>
      <w:tr w:rsidR="004B779A" w:rsidRPr="009340AA" w:rsidTr="00593EB4">
        <w:trPr>
          <w:cnfStyle w:val="000000100000" w:firstRow="0" w:lastRow="0" w:firstColumn="0" w:lastColumn="0" w:oddVBand="0" w:evenVBand="0" w:oddHBand="1" w:evenHBand="0" w:firstRowFirstColumn="0" w:firstRowLastColumn="0" w:lastRowFirstColumn="0" w:lastRowLastColumn="0"/>
          <w:trHeight w:hRule="exact" w:val="334"/>
        </w:trPr>
        <w:tc>
          <w:tcPr>
            <w:cnfStyle w:val="001000000000" w:firstRow="0" w:lastRow="0" w:firstColumn="1" w:lastColumn="0" w:oddVBand="0" w:evenVBand="0" w:oddHBand="0" w:evenHBand="0" w:firstRowFirstColumn="0" w:firstRowLastColumn="0" w:lastRowFirstColumn="0" w:lastRowLastColumn="0"/>
            <w:tcW w:w="7034" w:type="dxa"/>
          </w:tcPr>
          <w:p w:rsidR="009B209E" w:rsidRPr="009340AA" w:rsidRDefault="009B209E" w:rsidP="00593EB4">
            <w:pPr>
              <w:jc w:val="both"/>
              <w:rPr>
                <w:rFonts w:cs="Arial"/>
                <w:b w:val="0"/>
              </w:rPr>
            </w:pPr>
            <w:r w:rsidRPr="009340AA">
              <w:rPr>
                <w:rFonts w:cs="Arial"/>
                <w:b w:val="0"/>
              </w:rPr>
              <w:t>Outcome Substantiated</w:t>
            </w:r>
          </w:p>
        </w:tc>
        <w:tc>
          <w:tcPr>
            <w:cnfStyle w:val="000010000000" w:firstRow="0" w:lastRow="0" w:firstColumn="0" w:lastColumn="0" w:oddVBand="1" w:evenVBand="0" w:oddHBand="0" w:evenHBand="0" w:firstRowFirstColumn="0" w:firstRowLastColumn="0" w:lastRowFirstColumn="0" w:lastRowLastColumn="0"/>
            <w:tcW w:w="852" w:type="dxa"/>
          </w:tcPr>
          <w:p w:rsidR="009B209E" w:rsidRPr="009340AA" w:rsidRDefault="009B209E" w:rsidP="00593EB4">
            <w:pPr>
              <w:jc w:val="both"/>
              <w:rPr>
                <w:rFonts w:cs="Arial"/>
              </w:rPr>
            </w:pPr>
            <w:r w:rsidRPr="009340AA">
              <w:rPr>
                <w:rFonts w:cs="Arial"/>
              </w:rPr>
              <w:t>52</w:t>
            </w:r>
          </w:p>
        </w:tc>
        <w:tc>
          <w:tcPr>
            <w:cnfStyle w:val="000100000000" w:firstRow="0" w:lastRow="0" w:firstColumn="0" w:lastColumn="1" w:oddVBand="0" w:evenVBand="0" w:oddHBand="0" w:evenHBand="0" w:firstRowFirstColumn="0" w:firstRowLastColumn="0" w:lastRowFirstColumn="0" w:lastRowLastColumn="0"/>
            <w:tcW w:w="1333" w:type="dxa"/>
          </w:tcPr>
          <w:p w:rsidR="009B209E" w:rsidRPr="009340AA" w:rsidRDefault="009B209E" w:rsidP="00593EB4">
            <w:pPr>
              <w:jc w:val="both"/>
              <w:rPr>
                <w:rFonts w:cs="Arial"/>
                <w:b w:val="0"/>
              </w:rPr>
            </w:pPr>
            <w:r w:rsidRPr="009340AA">
              <w:rPr>
                <w:rFonts w:cs="Arial"/>
                <w:b w:val="0"/>
              </w:rPr>
              <w:t>37.56%</w:t>
            </w:r>
          </w:p>
        </w:tc>
      </w:tr>
      <w:tr w:rsidR="004B779A" w:rsidRPr="009340AA" w:rsidTr="00593EB4">
        <w:trPr>
          <w:trHeight w:hRule="exact" w:val="324"/>
        </w:trPr>
        <w:tc>
          <w:tcPr>
            <w:cnfStyle w:val="001000000000" w:firstRow="0" w:lastRow="0" w:firstColumn="1" w:lastColumn="0" w:oddVBand="0" w:evenVBand="0" w:oddHBand="0" w:evenHBand="0" w:firstRowFirstColumn="0" w:firstRowLastColumn="0" w:lastRowFirstColumn="0" w:lastRowLastColumn="0"/>
            <w:tcW w:w="7034" w:type="dxa"/>
          </w:tcPr>
          <w:p w:rsidR="009B209E" w:rsidRPr="009340AA" w:rsidRDefault="009B209E" w:rsidP="00593EB4">
            <w:pPr>
              <w:jc w:val="both"/>
              <w:rPr>
                <w:rFonts w:cs="Arial"/>
                <w:b w:val="0"/>
              </w:rPr>
            </w:pPr>
            <w:r w:rsidRPr="009340AA">
              <w:rPr>
                <w:rFonts w:cs="Arial"/>
                <w:b w:val="0"/>
              </w:rPr>
              <w:t>Outcome Unsubstantiated</w:t>
            </w:r>
          </w:p>
        </w:tc>
        <w:tc>
          <w:tcPr>
            <w:cnfStyle w:val="000010000000" w:firstRow="0" w:lastRow="0" w:firstColumn="0" w:lastColumn="0" w:oddVBand="1" w:evenVBand="0" w:oddHBand="0" w:evenHBand="0" w:firstRowFirstColumn="0" w:firstRowLastColumn="0" w:lastRowFirstColumn="0" w:lastRowLastColumn="0"/>
            <w:tcW w:w="852" w:type="dxa"/>
          </w:tcPr>
          <w:p w:rsidR="009B209E" w:rsidRPr="009340AA" w:rsidRDefault="009B209E" w:rsidP="00593EB4">
            <w:pPr>
              <w:jc w:val="both"/>
              <w:rPr>
                <w:rFonts w:cs="Arial"/>
              </w:rPr>
            </w:pPr>
            <w:r w:rsidRPr="009340AA">
              <w:rPr>
                <w:rFonts w:cs="Arial"/>
              </w:rPr>
              <w:t>27</w:t>
            </w:r>
          </w:p>
        </w:tc>
        <w:tc>
          <w:tcPr>
            <w:cnfStyle w:val="000100000000" w:firstRow="0" w:lastRow="0" w:firstColumn="0" w:lastColumn="1" w:oddVBand="0" w:evenVBand="0" w:oddHBand="0" w:evenHBand="0" w:firstRowFirstColumn="0" w:firstRowLastColumn="0" w:lastRowFirstColumn="0" w:lastRowLastColumn="0"/>
            <w:tcW w:w="1333" w:type="dxa"/>
          </w:tcPr>
          <w:p w:rsidR="009B209E" w:rsidRPr="009340AA" w:rsidRDefault="009B209E" w:rsidP="00593EB4">
            <w:pPr>
              <w:jc w:val="both"/>
              <w:rPr>
                <w:rFonts w:cs="Arial"/>
                <w:b w:val="0"/>
              </w:rPr>
            </w:pPr>
            <w:r w:rsidRPr="009340AA">
              <w:rPr>
                <w:rFonts w:cs="Arial"/>
                <w:b w:val="0"/>
              </w:rPr>
              <w:t>23.16%</w:t>
            </w:r>
          </w:p>
        </w:tc>
      </w:tr>
      <w:tr w:rsidR="004B779A" w:rsidRPr="009340AA" w:rsidTr="00593EB4">
        <w:trPr>
          <w:cnfStyle w:val="000000100000" w:firstRow="0" w:lastRow="0" w:firstColumn="0" w:lastColumn="0" w:oddVBand="0" w:evenVBand="0" w:oddHBand="1" w:evenHBand="0" w:firstRowFirstColumn="0" w:firstRowLastColumn="0" w:lastRowFirstColumn="0" w:lastRowLastColumn="0"/>
          <w:trHeight w:hRule="exact" w:val="324"/>
        </w:trPr>
        <w:tc>
          <w:tcPr>
            <w:cnfStyle w:val="001000000000" w:firstRow="0" w:lastRow="0" w:firstColumn="1" w:lastColumn="0" w:oddVBand="0" w:evenVBand="0" w:oddHBand="0" w:evenHBand="0" w:firstRowFirstColumn="0" w:firstRowLastColumn="0" w:lastRowFirstColumn="0" w:lastRowLastColumn="0"/>
            <w:tcW w:w="7034" w:type="dxa"/>
          </w:tcPr>
          <w:p w:rsidR="009B209E" w:rsidRPr="009340AA" w:rsidRDefault="009B209E" w:rsidP="00593EB4">
            <w:pPr>
              <w:jc w:val="both"/>
              <w:rPr>
                <w:rFonts w:cs="Arial"/>
                <w:b w:val="0"/>
              </w:rPr>
            </w:pPr>
            <w:r w:rsidRPr="009340AA">
              <w:rPr>
                <w:rFonts w:cs="Arial"/>
                <w:b w:val="0"/>
              </w:rPr>
              <w:t>Outcome Inconclusive</w:t>
            </w:r>
          </w:p>
        </w:tc>
        <w:tc>
          <w:tcPr>
            <w:cnfStyle w:val="000010000000" w:firstRow="0" w:lastRow="0" w:firstColumn="0" w:lastColumn="0" w:oddVBand="1" w:evenVBand="0" w:oddHBand="0" w:evenHBand="0" w:firstRowFirstColumn="0" w:firstRowLastColumn="0" w:lastRowFirstColumn="0" w:lastRowLastColumn="0"/>
            <w:tcW w:w="852" w:type="dxa"/>
          </w:tcPr>
          <w:p w:rsidR="009B209E" w:rsidRPr="009340AA" w:rsidRDefault="009B209E" w:rsidP="00593EB4">
            <w:pPr>
              <w:jc w:val="both"/>
              <w:rPr>
                <w:rFonts w:cs="Arial"/>
              </w:rPr>
            </w:pPr>
            <w:r w:rsidRPr="009340AA">
              <w:rPr>
                <w:rFonts w:cs="Arial"/>
              </w:rPr>
              <w:t>22</w:t>
            </w:r>
          </w:p>
        </w:tc>
        <w:tc>
          <w:tcPr>
            <w:cnfStyle w:val="000100000000" w:firstRow="0" w:lastRow="0" w:firstColumn="0" w:lastColumn="1" w:oddVBand="0" w:evenVBand="0" w:oddHBand="0" w:evenHBand="0" w:firstRowFirstColumn="0" w:firstRowLastColumn="0" w:lastRowFirstColumn="0" w:lastRowLastColumn="0"/>
            <w:tcW w:w="1333" w:type="dxa"/>
          </w:tcPr>
          <w:p w:rsidR="009B209E" w:rsidRPr="009340AA" w:rsidRDefault="009B209E" w:rsidP="00593EB4">
            <w:pPr>
              <w:jc w:val="both"/>
              <w:rPr>
                <w:rFonts w:cs="Arial"/>
                <w:b w:val="0"/>
              </w:rPr>
            </w:pPr>
            <w:r w:rsidRPr="009340AA">
              <w:rPr>
                <w:rFonts w:cs="Arial"/>
                <w:b w:val="0"/>
              </w:rPr>
              <w:t>15.08%</w:t>
            </w:r>
          </w:p>
        </w:tc>
      </w:tr>
      <w:tr w:rsidR="004B779A" w:rsidRPr="009340AA" w:rsidTr="004B779A">
        <w:trPr>
          <w:trHeight w:hRule="exact" w:val="289"/>
        </w:trPr>
        <w:tc>
          <w:tcPr>
            <w:cnfStyle w:val="001000000000" w:firstRow="0" w:lastRow="0" w:firstColumn="1" w:lastColumn="0" w:oddVBand="0" w:evenVBand="0" w:oddHBand="0" w:evenHBand="0" w:firstRowFirstColumn="0" w:firstRowLastColumn="0" w:lastRowFirstColumn="0" w:lastRowLastColumn="0"/>
            <w:tcW w:w="7034" w:type="dxa"/>
          </w:tcPr>
          <w:p w:rsidR="009B209E" w:rsidRPr="009340AA" w:rsidRDefault="009B209E" w:rsidP="00593EB4">
            <w:pPr>
              <w:jc w:val="both"/>
              <w:rPr>
                <w:rFonts w:cs="Arial"/>
                <w:b w:val="0"/>
              </w:rPr>
            </w:pPr>
            <w:r w:rsidRPr="009340AA">
              <w:rPr>
                <w:rFonts w:cs="Arial"/>
                <w:b w:val="0"/>
              </w:rPr>
              <w:t>Investigation ceased at individuals request</w:t>
            </w:r>
          </w:p>
        </w:tc>
        <w:tc>
          <w:tcPr>
            <w:cnfStyle w:val="000010000000" w:firstRow="0" w:lastRow="0" w:firstColumn="0" w:lastColumn="0" w:oddVBand="1" w:evenVBand="0" w:oddHBand="0" w:evenHBand="0" w:firstRowFirstColumn="0" w:firstRowLastColumn="0" w:lastRowFirstColumn="0" w:lastRowLastColumn="0"/>
            <w:tcW w:w="852" w:type="dxa"/>
          </w:tcPr>
          <w:p w:rsidR="009B209E" w:rsidRPr="009340AA" w:rsidRDefault="009B209E" w:rsidP="00593EB4">
            <w:pPr>
              <w:jc w:val="both"/>
              <w:rPr>
                <w:rFonts w:cs="Arial"/>
              </w:rPr>
            </w:pPr>
            <w:r w:rsidRPr="009340AA">
              <w:rPr>
                <w:rFonts w:cs="Arial"/>
              </w:rPr>
              <w:t>17</w:t>
            </w:r>
          </w:p>
        </w:tc>
        <w:tc>
          <w:tcPr>
            <w:cnfStyle w:val="000100000000" w:firstRow="0" w:lastRow="0" w:firstColumn="0" w:lastColumn="1" w:oddVBand="0" w:evenVBand="0" w:oddHBand="0" w:evenHBand="0" w:firstRowFirstColumn="0" w:firstRowLastColumn="0" w:lastRowFirstColumn="0" w:lastRowLastColumn="0"/>
            <w:tcW w:w="1333" w:type="dxa"/>
          </w:tcPr>
          <w:p w:rsidR="009B209E" w:rsidRPr="009340AA" w:rsidRDefault="009B209E" w:rsidP="00593EB4">
            <w:pPr>
              <w:jc w:val="both"/>
              <w:rPr>
                <w:rFonts w:cs="Arial"/>
                <w:b w:val="0"/>
              </w:rPr>
            </w:pPr>
            <w:r w:rsidRPr="009340AA">
              <w:rPr>
                <w:rFonts w:cs="Arial"/>
                <w:b w:val="0"/>
              </w:rPr>
              <w:t>12.95%</w:t>
            </w:r>
          </w:p>
        </w:tc>
      </w:tr>
      <w:tr w:rsidR="004B779A" w:rsidRPr="009340AA" w:rsidTr="00593EB4">
        <w:trPr>
          <w:cnfStyle w:val="000000100000" w:firstRow="0" w:lastRow="0" w:firstColumn="0" w:lastColumn="0" w:oddVBand="0" w:evenVBand="0" w:oddHBand="1" w:evenHBand="0" w:firstRowFirstColumn="0" w:firstRowLastColumn="0" w:lastRowFirstColumn="0" w:lastRowLastColumn="0"/>
          <w:trHeight w:hRule="exact" w:val="326"/>
        </w:trPr>
        <w:tc>
          <w:tcPr>
            <w:cnfStyle w:val="001000000000" w:firstRow="0" w:lastRow="0" w:firstColumn="1" w:lastColumn="0" w:oddVBand="0" w:evenVBand="0" w:oddHBand="0" w:evenHBand="0" w:firstRowFirstColumn="0" w:firstRowLastColumn="0" w:lastRowFirstColumn="0" w:lastRowLastColumn="0"/>
            <w:tcW w:w="7034" w:type="dxa"/>
          </w:tcPr>
          <w:p w:rsidR="009B209E" w:rsidRPr="009340AA" w:rsidRDefault="009B209E" w:rsidP="00593EB4">
            <w:pPr>
              <w:jc w:val="both"/>
              <w:rPr>
                <w:rFonts w:cs="Arial"/>
                <w:b w:val="0"/>
              </w:rPr>
            </w:pPr>
            <w:r w:rsidRPr="009340AA">
              <w:rPr>
                <w:rFonts w:cs="Arial"/>
                <w:b w:val="0"/>
              </w:rPr>
              <w:t>Outcome Partially Substantiated</w:t>
            </w:r>
          </w:p>
        </w:tc>
        <w:tc>
          <w:tcPr>
            <w:cnfStyle w:val="000010000000" w:firstRow="0" w:lastRow="0" w:firstColumn="0" w:lastColumn="0" w:oddVBand="1" w:evenVBand="0" w:oddHBand="0" w:evenHBand="0" w:firstRowFirstColumn="0" w:firstRowLastColumn="0" w:lastRowFirstColumn="0" w:lastRowLastColumn="0"/>
            <w:tcW w:w="852" w:type="dxa"/>
          </w:tcPr>
          <w:p w:rsidR="009B209E" w:rsidRPr="009340AA" w:rsidRDefault="009B209E" w:rsidP="00593EB4">
            <w:pPr>
              <w:jc w:val="both"/>
              <w:rPr>
                <w:rFonts w:cs="Arial"/>
              </w:rPr>
            </w:pPr>
            <w:r w:rsidRPr="009340AA">
              <w:rPr>
                <w:rFonts w:cs="Arial"/>
              </w:rPr>
              <w:t>17</w:t>
            </w:r>
          </w:p>
        </w:tc>
        <w:tc>
          <w:tcPr>
            <w:cnfStyle w:val="000100000000" w:firstRow="0" w:lastRow="0" w:firstColumn="0" w:lastColumn="1" w:oddVBand="0" w:evenVBand="0" w:oddHBand="0" w:evenHBand="0" w:firstRowFirstColumn="0" w:firstRowLastColumn="0" w:lastRowFirstColumn="0" w:lastRowLastColumn="0"/>
            <w:tcW w:w="1333" w:type="dxa"/>
          </w:tcPr>
          <w:p w:rsidR="009B209E" w:rsidRPr="009340AA" w:rsidRDefault="009B209E" w:rsidP="00593EB4">
            <w:pPr>
              <w:jc w:val="both"/>
              <w:rPr>
                <w:rFonts w:cs="Arial"/>
                <w:b w:val="0"/>
              </w:rPr>
            </w:pPr>
            <w:r w:rsidRPr="009340AA">
              <w:rPr>
                <w:rFonts w:cs="Arial"/>
                <w:b w:val="0"/>
              </w:rPr>
              <w:t>11.24%</w:t>
            </w:r>
          </w:p>
        </w:tc>
      </w:tr>
      <w:tr w:rsidR="004B779A" w:rsidRPr="009340AA" w:rsidTr="00593EB4">
        <w:trPr>
          <w:cnfStyle w:val="010000000000" w:firstRow="0" w:lastRow="1" w:firstColumn="0" w:lastColumn="0" w:oddVBand="0" w:evenVBand="0" w:oddHBand="0" w:evenHBand="0" w:firstRowFirstColumn="0" w:firstRowLastColumn="0" w:lastRowFirstColumn="0" w:lastRowLastColumn="0"/>
          <w:trHeight w:hRule="exact" w:val="324"/>
        </w:trPr>
        <w:tc>
          <w:tcPr>
            <w:cnfStyle w:val="001000000000" w:firstRow="0" w:lastRow="0" w:firstColumn="1" w:lastColumn="0" w:oddVBand="0" w:evenVBand="0" w:oddHBand="0" w:evenHBand="0" w:firstRowFirstColumn="0" w:firstRowLastColumn="0" w:lastRowFirstColumn="0" w:lastRowLastColumn="0"/>
            <w:tcW w:w="7034" w:type="dxa"/>
          </w:tcPr>
          <w:p w:rsidR="009B209E" w:rsidRPr="009340AA" w:rsidRDefault="009B209E" w:rsidP="00593EB4">
            <w:pPr>
              <w:jc w:val="both"/>
              <w:rPr>
                <w:rFonts w:cs="Arial"/>
                <w:b w:val="0"/>
                <w:bCs w:val="0"/>
              </w:rPr>
            </w:pPr>
            <w:r w:rsidRPr="009340AA">
              <w:rPr>
                <w:rFonts w:cs="Arial"/>
                <w:b w:val="0"/>
                <w:bCs w:val="0"/>
              </w:rPr>
              <w:t>Grand Total</w:t>
            </w:r>
          </w:p>
        </w:tc>
        <w:tc>
          <w:tcPr>
            <w:cnfStyle w:val="000010000000" w:firstRow="0" w:lastRow="0" w:firstColumn="0" w:lastColumn="0" w:oddVBand="1" w:evenVBand="0" w:oddHBand="0" w:evenHBand="0" w:firstRowFirstColumn="0" w:firstRowLastColumn="0" w:lastRowFirstColumn="0" w:lastRowLastColumn="0"/>
            <w:tcW w:w="852" w:type="dxa"/>
          </w:tcPr>
          <w:p w:rsidR="009B209E" w:rsidRPr="009340AA" w:rsidRDefault="009B209E" w:rsidP="00593EB4">
            <w:pPr>
              <w:jc w:val="both"/>
              <w:rPr>
                <w:rFonts w:cs="Arial"/>
                <w:b w:val="0"/>
                <w:bCs w:val="0"/>
              </w:rPr>
            </w:pPr>
            <w:r w:rsidRPr="009340AA">
              <w:rPr>
                <w:rFonts w:cs="Arial"/>
                <w:b w:val="0"/>
                <w:bCs w:val="0"/>
              </w:rPr>
              <w:t>135</w:t>
            </w:r>
          </w:p>
        </w:tc>
        <w:tc>
          <w:tcPr>
            <w:cnfStyle w:val="000100000000" w:firstRow="0" w:lastRow="0" w:firstColumn="0" w:lastColumn="1" w:oddVBand="0" w:evenVBand="0" w:oddHBand="0" w:evenHBand="0" w:firstRowFirstColumn="0" w:firstRowLastColumn="0" w:lastRowFirstColumn="0" w:lastRowLastColumn="0"/>
            <w:tcW w:w="1333" w:type="dxa"/>
          </w:tcPr>
          <w:p w:rsidR="009B209E" w:rsidRPr="009340AA" w:rsidRDefault="009B209E" w:rsidP="00593EB4">
            <w:pPr>
              <w:jc w:val="both"/>
              <w:rPr>
                <w:rFonts w:cs="Arial"/>
                <w:b w:val="0"/>
                <w:bCs w:val="0"/>
              </w:rPr>
            </w:pPr>
            <w:r w:rsidRPr="009340AA">
              <w:rPr>
                <w:rFonts w:cs="Arial"/>
                <w:b w:val="0"/>
                <w:bCs w:val="0"/>
              </w:rPr>
              <w:t>100.00%</w:t>
            </w:r>
          </w:p>
        </w:tc>
      </w:tr>
    </w:tbl>
    <w:p w:rsidR="009B209E" w:rsidRPr="004B779A" w:rsidRDefault="009B209E" w:rsidP="009B209E">
      <w:pPr>
        <w:spacing w:after="0"/>
        <w:ind w:right="59"/>
        <w:jc w:val="both"/>
        <w:rPr>
          <w:rFonts w:ascii="Arial" w:eastAsia="Arial" w:hAnsi="Arial" w:cs="Arial"/>
        </w:rPr>
      </w:pPr>
    </w:p>
    <w:p w:rsidR="009B209E" w:rsidRPr="00035C86" w:rsidRDefault="008811B9" w:rsidP="008811B9">
      <w:pPr>
        <w:jc w:val="both"/>
        <w:rPr>
          <w:rFonts w:ascii="Arial" w:hAnsi="Arial" w:cs="Arial"/>
          <w:b/>
          <w:sz w:val="28"/>
          <w:szCs w:val="28"/>
        </w:rPr>
      </w:pPr>
      <w:r w:rsidRPr="00035C86">
        <w:rPr>
          <w:rFonts w:ascii="Arial" w:hAnsi="Arial" w:cs="Arial"/>
          <w:b/>
          <w:sz w:val="28"/>
          <w:szCs w:val="28"/>
        </w:rPr>
        <w:t>MAKING SAFEGUARDING PERSONAL (MSP)</w:t>
      </w:r>
    </w:p>
    <w:p w:rsidR="009B209E" w:rsidRPr="004B779A" w:rsidRDefault="009B209E" w:rsidP="009B209E">
      <w:pPr>
        <w:jc w:val="both"/>
        <w:rPr>
          <w:rFonts w:ascii="Arial" w:hAnsi="Arial" w:cs="Arial"/>
        </w:rPr>
      </w:pPr>
      <w:r w:rsidRPr="004B779A">
        <w:rPr>
          <w:rFonts w:ascii="Arial" w:hAnsi="Arial" w:cs="Arial"/>
        </w:rPr>
        <w:t xml:space="preserve">In line with good practice and the government agenda we have been making safeguarding personal in Thurrock, by giving people the opportunity to tell us what they want in safeguarding processes and how they may contribute to their own safety. Most service users have been supported by their family or friends and have not opted for paid advocates to support them. A number of people have opted for the safeguarding enquiry to be ceased, when a concern has been raised to the local authority and then discussed with them. </w:t>
      </w:r>
    </w:p>
    <w:p w:rsidR="009B209E" w:rsidRPr="004B779A" w:rsidRDefault="009B209E" w:rsidP="009B209E">
      <w:pPr>
        <w:jc w:val="both"/>
        <w:rPr>
          <w:rFonts w:ascii="Arial" w:hAnsi="Arial" w:cs="Arial"/>
        </w:rPr>
      </w:pPr>
      <w:r w:rsidRPr="004B779A">
        <w:rPr>
          <w:rFonts w:ascii="Arial" w:hAnsi="Arial" w:cs="Arial"/>
        </w:rPr>
        <w:t xml:space="preserve">Some patterns of financial abuse were identified with a few people living in the Aveley or South </w:t>
      </w:r>
      <w:proofErr w:type="spellStart"/>
      <w:r w:rsidRPr="004B779A">
        <w:rPr>
          <w:rFonts w:ascii="Arial" w:hAnsi="Arial" w:cs="Arial"/>
        </w:rPr>
        <w:t>Ockendon</w:t>
      </w:r>
      <w:proofErr w:type="spellEnd"/>
      <w:r w:rsidRPr="004B779A">
        <w:rPr>
          <w:rFonts w:ascii="Arial" w:hAnsi="Arial" w:cs="Arial"/>
        </w:rPr>
        <w:t xml:space="preserve"> area of the local authority. The Safeguarding Adults Service made use of the Community Hub to have a survivor’s discussion meeting with the adults at risk.  They were able </w:t>
      </w:r>
      <w:r w:rsidRPr="004B779A">
        <w:rPr>
          <w:rFonts w:ascii="Arial" w:hAnsi="Arial" w:cs="Arial"/>
        </w:rPr>
        <w:lastRenderedPageBreak/>
        <w:t>to share their stories with one another and offered continuous support for one another to prevent any exploitation from happening again. They knew that the staff members at the hub were trusted individuals and that they could raise any further concerns with trusted individuals as well as the local authority.</w:t>
      </w:r>
    </w:p>
    <w:p w:rsidR="009B209E" w:rsidRPr="004B779A" w:rsidRDefault="009B209E" w:rsidP="009B209E">
      <w:pPr>
        <w:jc w:val="both"/>
        <w:rPr>
          <w:rFonts w:ascii="Arial" w:hAnsi="Arial" w:cs="Arial"/>
        </w:rPr>
      </w:pPr>
      <w:r w:rsidRPr="004B779A">
        <w:rPr>
          <w:rFonts w:ascii="Arial" w:hAnsi="Arial" w:cs="Arial"/>
        </w:rPr>
        <w:t xml:space="preserve">The local authority has set up a Safeguarding Adults Practitioners Forum in the past year to drive practice changes forward and ensure MSP is embedded with social workers especially. </w:t>
      </w:r>
    </w:p>
    <w:p w:rsidR="009B209E" w:rsidRPr="00035C86" w:rsidRDefault="008811B9" w:rsidP="009B209E">
      <w:pPr>
        <w:spacing w:after="0"/>
        <w:ind w:right="59"/>
        <w:jc w:val="both"/>
        <w:rPr>
          <w:rFonts w:ascii="Arial" w:eastAsia="Arial" w:hAnsi="Arial" w:cs="Arial"/>
          <w:b/>
          <w:sz w:val="28"/>
          <w:szCs w:val="28"/>
        </w:rPr>
      </w:pPr>
      <w:r w:rsidRPr="00035C86">
        <w:rPr>
          <w:rFonts w:ascii="Arial" w:eastAsia="Arial" w:hAnsi="Arial" w:cs="Arial"/>
          <w:b/>
          <w:sz w:val="28"/>
          <w:szCs w:val="28"/>
        </w:rPr>
        <w:t>MENTAL CAPACITY</w:t>
      </w:r>
    </w:p>
    <w:p w:rsidR="009B209E" w:rsidRPr="004B779A" w:rsidRDefault="009B209E" w:rsidP="009B209E">
      <w:pPr>
        <w:jc w:val="both"/>
        <w:rPr>
          <w:rFonts w:ascii="Arial" w:hAnsi="Arial" w:cs="Arial"/>
        </w:rPr>
      </w:pPr>
      <w:r w:rsidRPr="004B779A">
        <w:rPr>
          <w:rFonts w:ascii="Arial" w:hAnsi="Arial" w:cs="Arial"/>
        </w:rPr>
        <w:t xml:space="preserve">Southend, Essex and Thurrock (SET) updated their Mental Capacity Assessment Forms and related Policy and Procedure in February 2018. More information can be found on the TSAB Website. </w:t>
      </w:r>
    </w:p>
    <w:p w:rsidR="009B209E" w:rsidRPr="008811B9" w:rsidRDefault="009B209E" w:rsidP="008811B9">
      <w:pPr>
        <w:jc w:val="both"/>
        <w:rPr>
          <w:rFonts w:ascii="Arial" w:hAnsi="Arial" w:cs="Arial"/>
          <w:b/>
        </w:rPr>
      </w:pPr>
      <w:r w:rsidRPr="008811B9">
        <w:rPr>
          <w:rFonts w:ascii="Arial" w:hAnsi="Arial" w:cs="Arial"/>
          <w:b/>
        </w:rPr>
        <w:t>Mental Capacity and Safeguarding Adults</w:t>
      </w:r>
    </w:p>
    <w:p w:rsidR="009B209E" w:rsidRPr="004B779A" w:rsidRDefault="009B209E" w:rsidP="009B209E">
      <w:pPr>
        <w:spacing w:after="0"/>
        <w:ind w:right="59"/>
        <w:jc w:val="both"/>
        <w:rPr>
          <w:rFonts w:ascii="Arial" w:eastAsia="Arial" w:hAnsi="Arial" w:cs="Arial"/>
        </w:rPr>
      </w:pPr>
      <w:r w:rsidRPr="004B779A">
        <w:rPr>
          <w:rFonts w:ascii="Arial" w:eastAsia="Arial" w:hAnsi="Arial" w:cs="Arial"/>
        </w:rPr>
        <w:t>Most adults at risk that become known to Thurrock Council have full mental capacity to make decisions about their own safety. Whether people have or lack mental capacity the Safeguarding Adults Service always discuss</w:t>
      </w:r>
      <w:r w:rsidR="008811B9">
        <w:rPr>
          <w:rFonts w:ascii="Arial" w:eastAsia="Arial" w:hAnsi="Arial" w:cs="Arial"/>
        </w:rPr>
        <w:t>es</w:t>
      </w:r>
      <w:r w:rsidRPr="004B779A">
        <w:rPr>
          <w:rFonts w:ascii="Arial" w:eastAsia="Arial" w:hAnsi="Arial" w:cs="Arial"/>
        </w:rPr>
        <w:t xml:space="preserve"> with individuals what their options may be in terms of making themselves safer. We have seen a number of cases of domestic abuse and people are often given opportunities about how to address matters, whether they would prefer to go to a place of safety, whether they would like anyone to support them, for example an Independent Domestic Violent Advocate (IDVA) or voluntary services such as Changing Pathways, Thurrock Inclusions, or even South Essex Rape and Incest Centre (SERRIC).  Most people request that the Safeguarding Concern or Safeguarding Enquiry stops, as they are often not ready or prepared to engage with Adult Social Care at that point in time, because of fear that the intervention may increase the risks to their safety or may influence their housing or finances. It is important that professionals recognise these difficulties that adults at risk encounter. </w:t>
      </w:r>
    </w:p>
    <w:p w:rsidR="009B209E" w:rsidRPr="004B779A" w:rsidRDefault="009B209E" w:rsidP="009B209E">
      <w:pPr>
        <w:spacing w:after="0"/>
        <w:ind w:right="59"/>
        <w:jc w:val="both"/>
        <w:rPr>
          <w:rFonts w:ascii="Arial" w:eastAsia="Arial" w:hAnsi="Arial" w:cs="Arial"/>
        </w:rPr>
      </w:pPr>
    </w:p>
    <w:p w:rsidR="009B209E" w:rsidRPr="004B779A" w:rsidRDefault="009B209E" w:rsidP="009B209E">
      <w:pPr>
        <w:spacing w:after="0"/>
        <w:ind w:right="59"/>
        <w:jc w:val="both"/>
        <w:rPr>
          <w:rFonts w:ascii="Arial" w:eastAsia="Arial" w:hAnsi="Arial" w:cs="Arial"/>
        </w:rPr>
      </w:pPr>
      <w:r w:rsidRPr="004B779A">
        <w:rPr>
          <w:rFonts w:ascii="Arial" w:eastAsia="Arial" w:hAnsi="Arial" w:cs="Arial"/>
        </w:rPr>
        <w:t xml:space="preserve">This year </w:t>
      </w:r>
      <w:r w:rsidRPr="004B779A">
        <w:rPr>
          <w:rFonts w:ascii="Arial" w:eastAsia="Arial" w:hAnsi="Arial" w:cs="Arial"/>
          <w:b/>
        </w:rPr>
        <w:t>54</w:t>
      </w:r>
      <w:r w:rsidRPr="004B779A">
        <w:rPr>
          <w:rFonts w:ascii="Arial" w:eastAsia="Arial" w:hAnsi="Arial" w:cs="Arial"/>
        </w:rPr>
        <w:t xml:space="preserve"> GPs and Health Professionals attended a seminar on this subject which included the wider safeguarding agenda.  This was delivered in partnership with CCG. </w:t>
      </w:r>
    </w:p>
    <w:p w:rsidR="009B209E" w:rsidRPr="004B779A" w:rsidRDefault="009B209E" w:rsidP="009B209E">
      <w:pPr>
        <w:spacing w:after="0"/>
        <w:ind w:right="59"/>
        <w:jc w:val="both"/>
        <w:rPr>
          <w:rFonts w:ascii="Arial" w:eastAsia="Arial" w:hAnsi="Arial" w:cs="Arial"/>
        </w:rPr>
      </w:pPr>
    </w:p>
    <w:p w:rsidR="009B209E" w:rsidRPr="004B779A" w:rsidRDefault="009B209E" w:rsidP="009B209E">
      <w:pPr>
        <w:spacing w:after="0"/>
        <w:ind w:right="59"/>
        <w:jc w:val="both"/>
        <w:rPr>
          <w:rFonts w:ascii="Arial" w:eastAsia="Arial" w:hAnsi="Arial" w:cs="Arial"/>
        </w:rPr>
      </w:pPr>
      <w:r w:rsidRPr="004B779A">
        <w:rPr>
          <w:rFonts w:ascii="Arial" w:eastAsia="Arial" w:hAnsi="Arial" w:cs="Arial"/>
        </w:rPr>
        <w:t>Where people lack mental capacity their family or friends or Independent Mental Capacity Advocates (IMCA’s) are appointed and consulted on the person’s behalf to support people’s safety where their wellbeing may be at risk. Safeguarding Enquiries are often managed around such an individual when they cannot express their views. The safeguarding service regularly liaises with the Care Quality Commission (CQC) and visits are made to our external providers.  These providers are then asked to put safety plans in place and update risk assessments to ensure the vulnerable adults safety.</w:t>
      </w:r>
    </w:p>
    <w:p w:rsidR="009B209E" w:rsidRPr="004B779A" w:rsidRDefault="009B209E" w:rsidP="009B209E">
      <w:pPr>
        <w:spacing w:after="0"/>
        <w:ind w:right="59"/>
        <w:jc w:val="both"/>
        <w:rPr>
          <w:rFonts w:ascii="Arial" w:eastAsia="Arial" w:hAnsi="Arial" w:cs="Arial"/>
        </w:rPr>
      </w:pPr>
    </w:p>
    <w:p w:rsidR="009B209E" w:rsidRPr="004B779A" w:rsidRDefault="009B209E" w:rsidP="009B209E">
      <w:pPr>
        <w:jc w:val="both"/>
        <w:rPr>
          <w:rFonts w:ascii="Arial" w:hAnsi="Arial" w:cs="Arial"/>
        </w:rPr>
        <w:sectPr w:rsidR="009B209E" w:rsidRPr="004B779A" w:rsidSect="00B253AA">
          <w:headerReference w:type="default" r:id="rId10"/>
          <w:footerReference w:type="even" r:id="rId11"/>
          <w:footerReference w:type="default" r:id="rId12"/>
          <w:footerReference w:type="first" r:id="rId13"/>
          <w:pgSz w:w="11920" w:h="16840"/>
          <w:pgMar w:top="1360" w:right="1320" w:bottom="1220" w:left="1220" w:header="731" w:footer="1025" w:gutter="0"/>
          <w:pgNumType w:start="1"/>
          <w:cols w:space="720"/>
          <w:titlePg/>
          <w:docGrid w:linePitch="299"/>
        </w:sectPr>
      </w:pPr>
    </w:p>
    <w:p w:rsidR="009B209E" w:rsidRPr="00035C86" w:rsidRDefault="009B209E" w:rsidP="00035C86">
      <w:pPr>
        <w:jc w:val="both"/>
        <w:rPr>
          <w:rFonts w:ascii="Arial" w:hAnsi="Arial" w:cs="Arial"/>
          <w:b/>
        </w:rPr>
      </w:pPr>
      <w:r w:rsidRPr="00933158">
        <w:rPr>
          <w:rFonts w:ascii="Arial" w:hAnsi="Arial" w:cs="Arial"/>
          <w:b/>
          <w:sz w:val="28"/>
          <w:szCs w:val="28"/>
        </w:rPr>
        <w:lastRenderedPageBreak/>
        <w:t>Case studies in Safeguarding Adults</w:t>
      </w:r>
    </w:p>
    <w:p w:rsidR="009B209E" w:rsidRPr="00035C86" w:rsidRDefault="009B209E" w:rsidP="009B209E">
      <w:pPr>
        <w:jc w:val="both"/>
        <w:rPr>
          <w:rFonts w:ascii="Arial" w:hAnsi="Arial" w:cs="Arial"/>
          <w:i/>
        </w:rPr>
      </w:pPr>
      <w:r w:rsidRPr="00035C86">
        <w:rPr>
          <w:rFonts w:ascii="Arial" w:hAnsi="Arial" w:cs="Arial"/>
          <w:i/>
        </w:rPr>
        <w:t>Please note that names, locations, and data identifying service users have been changed in the examples:</w:t>
      </w:r>
    </w:p>
    <w:p w:rsidR="009B209E" w:rsidRPr="004B779A" w:rsidRDefault="009B209E" w:rsidP="009B209E">
      <w:pPr>
        <w:pStyle w:val="ListParagraph"/>
        <w:numPr>
          <w:ilvl w:val="0"/>
          <w:numId w:val="2"/>
        </w:numPr>
        <w:jc w:val="both"/>
        <w:rPr>
          <w:rFonts w:ascii="Arial" w:hAnsi="Arial" w:cs="Arial"/>
          <w:b/>
        </w:rPr>
      </w:pPr>
      <w:r w:rsidRPr="004B779A">
        <w:rPr>
          <w:rFonts w:ascii="Arial" w:hAnsi="Arial" w:cs="Arial"/>
          <w:b/>
        </w:rPr>
        <w:t>Dementia and Safeguarding, concerns which did not progress to a Safeguarding Enquiry:</w:t>
      </w:r>
    </w:p>
    <w:p w:rsidR="009B209E" w:rsidRPr="004B779A" w:rsidRDefault="009B209E" w:rsidP="009B209E">
      <w:pPr>
        <w:pStyle w:val="ListParagraph"/>
        <w:jc w:val="both"/>
        <w:rPr>
          <w:rFonts w:ascii="Arial" w:hAnsi="Arial" w:cs="Arial"/>
          <w:b/>
        </w:rPr>
      </w:pPr>
    </w:p>
    <w:p w:rsidR="009B209E" w:rsidRPr="004B779A" w:rsidRDefault="009B209E" w:rsidP="009B209E">
      <w:pPr>
        <w:pStyle w:val="ListParagraph"/>
        <w:jc w:val="both"/>
        <w:rPr>
          <w:rFonts w:ascii="Arial" w:hAnsi="Arial" w:cs="Arial"/>
        </w:rPr>
      </w:pPr>
      <w:r w:rsidRPr="004B779A">
        <w:rPr>
          <w:rFonts w:ascii="Arial" w:hAnsi="Arial" w:cs="Arial"/>
        </w:rPr>
        <w:t xml:space="preserve">Biff is in her 80s, has arthritis and lives with her daughter. Biff visited the police station stating that someone had broken into her home and redecorated the ceilings from magnolia to white. The ceilings in the bedrooms and kitchen had been altered. The police officer contacted her daughter who stated that she works night shift. She explained that she had been home all day and no one has been in the house to alter the decoration. The daughter mentioned that Biff is awaiting results for dementia, from her GP. This case was not progressed to a Safeguarding Enquiry (S42 SE), because there is no adult at risk of abuse with care and support needs who is unable to protect themselves from harm. Thus the case progressed to the early intervention and prevention team to explore her presenting needs and ensure appropriate social work support. Therefore no action was taken from a Safeguarding Adults perspective. </w:t>
      </w:r>
    </w:p>
    <w:p w:rsidR="009B209E" w:rsidRPr="004B779A" w:rsidRDefault="009B209E" w:rsidP="009B209E">
      <w:pPr>
        <w:pStyle w:val="ListParagraph"/>
        <w:jc w:val="both"/>
        <w:rPr>
          <w:rFonts w:ascii="Arial" w:hAnsi="Arial" w:cs="Arial"/>
        </w:rPr>
      </w:pPr>
    </w:p>
    <w:p w:rsidR="009B209E" w:rsidRPr="004B779A" w:rsidRDefault="009B209E" w:rsidP="009B209E">
      <w:pPr>
        <w:pStyle w:val="ListParagraph"/>
        <w:numPr>
          <w:ilvl w:val="0"/>
          <w:numId w:val="2"/>
        </w:numPr>
        <w:jc w:val="both"/>
        <w:rPr>
          <w:rFonts w:ascii="Arial" w:hAnsi="Arial" w:cs="Arial"/>
        </w:rPr>
      </w:pPr>
      <w:r w:rsidRPr="004B779A">
        <w:rPr>
          <w:rFonts w:ascii="Arial" w:hAnsi="Arial" w:cs="Arial"/>
          <w:b/>
        </w:rPr>
        <w:t>Alcohol Misuse, Mental Capacity issues and safeguarding, concerns which progressed to a Section 42 Safeguarding Enquiry:</w:t>
      </w:r>
    </w:p>
    <w:p w:rsidR="009B209E" w:rsidRPr="004B779A" w:rsidRDefault="009B209E" w:rsidP="009B209E">
      <w:pPr>
        <w:pStyle w:val="ListParagraph"/>
        <w:jc w:val="both"/>
        <w:rPr>
          <w:rFonts w:ascii="Arial" w:hAnsi="Arial" w:cs="Arial"/>
        </w:rPr>
      </w:pPr>
    </w:p>
    <w:p w:rsidR="009B209E" w:rsidRPr="004B779A" w:rsidRDefault="009B209E" w:rsidP="009B209E">
      <w:pPr>
        <w:pStyle w:val="ListParagraph"/>
        <w:jc w:val="both"/>
        <w:rPr>
          <w:rFonts w:ascii="Arial" w:hAnsi="Arial" w:cs="Arial"/>
        </w:rPr>
      </w:pPr>
      <w:r w:rsidRPr="004B779A">
        <w:rPr>
          <w:rFonts w:ascii="Arial" w:hAnsi="Arial" w:cs="Arial"/>
        </w:rPr>
        <w:t xml:space="preserve">Mrs Green was in hospital due to a brain injury as a result of a fall caused by alcohol misuse. She was subject to a Deprivation of Liberty Safeguards whilst in hospital, to help keep her safe. She lacks mental capacity to make decisions regarding her care and treatment needs. A number of neuro-rehabilitation placements came to assess her in hospital and turned her down. Mrs Green eventually agreed to be moved into a care home temporarily, but she became agitated, as she did not want to be in the care home anymore. She forced her way out of the care home after a visit from her family. The police were called as Mrs Green made her way to the bus stop and then made her way home as she refused to return to the care home. Her husband was concerned for her welfare and contacted the care home and the care home sent some carers to escort her back to the care home where she was again supported by means of a Deprivation of Liberty Safeguard and more regular checks to keep her safe. She is currently abstaining from alcohol use and her memory has improved somewhat. Her husband comes to visit her every other day. </w:t>
      </w:r>
    </w:p>
    <w:p w:rsidR="009B209E" w:rsidRPr="004B779A" w:rsidRDefault="009B209E" w:rsidP="009B209E">
      <w:pPr>
        <w:pStyle w:val="ListParagraph"/>
        <w:jc w:val="both"/>
        <w:rPr>
          <w:rFonts w:ascii="Arial" w:hAnsi="Arial" w:cs="Arial"/>
        </w:rPr>
      </w:pPr>
    </w:p>
    <w:p w:rsidR="009B209E" w:rsidRPr="004B779A" w:rsidRDefault="009B209E" w:rsidP="009B209E">
      <w:pPr>
        <w:pStyle w:val="ListParagraph"/>
        <w:numPr>
          <w:ilvl w:val="0"/>
          <w:numId w:val="2"/>
        </w:numPr>
        <w:jc w:val="both"/>
        <w:rPr>
          <w:rFonts w:ascii="Arial" w:hAnsi="Arial" w:cs="Arial"/>
          <w:b/>
        </w:rPr>
      </w:pPr>
      <w:r w:rsidRPr="004B779A">
        <w:rPr>
          <w:rFonts w:ascii="Arial" w:hAnsi="Arial" w:cs="Arial"/>
          <w:b/>
        </w:rPr>
        <w:t>Learning disability and safeguarding, the concern did not progress to a Section 42 Safeguarding  Enquiry:</w:t>
      </w:r>
    </w:p>
    <w:p w:rsidR="009B209E" w:rsidRPr="004B779A" w:rsidRDefault="009B209E" w:rsidP="009B209E">
      <w:pPr>
        <w:pStyle w:val="ListParagraph"/>
        <w:jc w:val="both"/>
        <w:rPr>
          <w:rFonts w:ascii="Arial" w:hAnsi="Arial" w:cs="Arial"/>
        </w:rPr>
      </w:pPr>
    </w:p>
    <w:p w:rsidR="009B209E" w:rsidRPr="004B779A" w:rsidRDefault="009B209E" w:rsidP="009340AA">
      <w:pPr>
        <w:pStyle w:val="ListParagraph"/>
        <w:ind w:left="426"/>
        <w:jc w:val="both"/>
        <w:rPr>
          <w:rFonts w:ascii="Arial" w:hAnsi="Arial" w:cs="Arial"/>
        </w:rPr>
      </w:pPr>
      <w:r w:rsidRPr="004B779A">
        <w:rPr>
          <w:rFonts w:ascii="Arial" w:hAnsi="Arial" w:cs="Arial"/>
        </w:rPr>
        <w:t xml:space="preserve">Bill is a young man with a learning disability and he lives in </w:t>
      </w:r>
      <w:proofErr w:type="gramStart"/>
      <w:r w:rsidRPr="004B779A">
        <w:rPr>
          <w:rFonts w:ascii="Arial" w:hAnsi="Arial" w:cs="Arial"/>
        </w:rPr>
        <w:t>a housing</w:t>
      </w:r>
      <w:proofErr w:type="gramEnd"/>
      <w:r w:rsidRPr="004B779A">
        <w:rPr>
          <w:rFonts w:ascii="Arial" w:hAnsi="Arial" w:cs="Arial"/>
        </w:rPr>
        <w:t xml:space="preserve"> with care scheme. He was knocked over by another resident who was using an electric wheelchair. Bill fell on his knees using his hands to brace the fall and as a result he sustained a broken wrist. This referral did not progress to a section 42 Safeguarding Enquiry because the risk had been addressed under care and risk management processes. The housing scheme arranged with the other resident to adjust the speed of their wheelchair and </w:t>
      </w:r>
      <w:r w:rsidRPr="004B779A">
        <w:rPr>
          <w:rFonts w:ascii="Arial" w:hAnsi="Arial" w:cs="Arial"/>
        </w:rPr>
        <w:lastRenderedPageBreak/>
        <w:t xml:space="preserve">make it move slower to safeguard others better. Bill’s father also provided some ongoing monitoring of the situation by regularly explaining why his wheelchair needed to be kept at a particular speed for the safety of others. </w:t>
      </w:r>
    </w:p>
    <w:p w:rsidR="009B209E" w:rsidRPr="004B779A" w:rsidRDefault="009B209E" w:rsidP="009340AA">
      <w:pPr>
        <w:pStyle w:val="ListParagraph"/>
        <w:ind w:left="426"/>
        <w:jc w:val="both"/>
        <w:rPr>
          <w:rFonts w:ascii="Arial" w:hAnsi="Arial" w:cs="Arial"/>
        </w:rPr>
      </w:pPr>
    </w:p>
    <w:p w:rsidR="009B209E" w:rsidRPr="004B779A" w:rsidRDefault="009B209E" w:rsidP="009340AA">
      <w:pPr>
        <w:pStyle w:val="ListParagraph"/>
        <w:numPr>
          <w:ilvl w:val="0"/>
          <w:numId w:val="2"/>
        </w:numPr>
        <w:ind w:left="426"/>
        <w:jc w:val="both"/>
        <w:rPr>
          <w:rFonts w:ascii="Arial" w:hAnsi="Arial" w:cs="Arial"/>
          <w:b/>
        </w:rPr>
      </w:pPr>
      <w:r w:rsidRPr="004B779A">
        <w:rPr>
          <w:rFonts w:ascii="Arial" w:hAnsi="Arial" w:cs="Arial"/>
          <w:b/>
        </w:rPr>
        <w:t>Financial and Psychological abuse case where safeguarding progressed to a Section 42 Safeguarding enquiry:</w:t>
      </w:r>
    </w:p>
    <w:p w:rsidR="009B209E" w:rsidRPr="004B779A" w:rsidRDefault="009B209E" w:rsidP="009340AA">
      <w:pPr>
        <w:pStyle w:val="ListParagraph"/>
        <w:ind w:left="426"/>
        <w:jc w:val="both"/>
        <w:rPr>
          <w:rFonts w:ascii="Arial" w:hAnsi="Arial" w:cs="Arial"/>
        </w:rPr>
      </w:pPr>
    </w:p>
    <w:p w:rsidR="009B209E" w:rsidRPr="004B779A" w:rsidRDefault="009B209E" w:rsidP="009340AA">
      <w:pPr>
        <w:pStyle w:val="ListParagraph"/>
        <w:ind w:left="426"/>
        <w:jc w:val="both"/>
        <w:rPr>
          <w:rFonts w:ascii="Arial" w:hAnsi="Arial" w:cs="Arial"/>
        </w:rPr>
      </w:pPr>
      <w:r w:rsidRPr="004B779A">
        <w:rPr>
          <w:rFonts w:ascii="Arial" w:hAnsi="Arial" w:cs="Arial"/>
        </w:rPr>
        <w:t xml:space="preserve">Mr White is in his late </w:t>
      </w:r>
      <w:proofErr w:type="gramStart"/>
      <w:r w:rsidRPr="004B779A">
        <w:rPr>
          <w:rFonts w:ascii="Arial" w:hAnsi="Arial" w:cs="Arial"/>
        </w:rPr>
        <w:t>70s,</w:t>
      </w:r>
      <w:proofErr w:type="gramEnd"/>
      <w:r w:rsidRPr="004B779A">
        <w:rPr>
          <w:rFonts w:ascii="Arial" w:hAnsi="Arial" w:cs="Arial"/>
        </w:rPr>
        <w:t xml:space="preserve"> he has advanced dementia and lives alone in his own property. His property had been broken into on few occasions where money and belongings were taken. The alleged perpetrator of the crime was posing as his son, but it turned out it was a stranger who is a heroin addict. The police were informed and it was suggested that the locks to his property was changed.  Mr White went to stay with his son in the meantime. Mr White wanted to return home, but could not because it was unsafe to do so. The anti-social behaviour </w:t>
      </w:r>
      <w:proofErr w:type="gramStart"/>
      <w:r w:rsidRPr="004B779A">
        <w:rPr>
          <w:rFonts w:ascii="Arial" w:hAnsi="Arial" w:cs="Arial"/>
        </w:rPr>
        <w:t>service were</w:t>
      </w:r>
      <w:proofErr w:type="gramEnd"/>
      <w:r w:rsidRPr="004B779A">
        <w:rPr>
          <w:rFonts w:ascii="Arial" w:hAnsi="Arial" w:cs="Arial"/>
        </w:rPr>
        <w:t xml:space="preserve"> involved. They installed new doors, which was a security measure. The safeguarding team informed the housing team to see if Mr White can be placed in an alternative accommodation, but this offer was turned down by him and his family. The police carried on with their investigation into the alleged crime of burglary and theft. The family installed CCTV and consented to it being used on social media. Some months later the perpetrator of the crime was arrested and sentenced. The outcomes were also captured as part of the Section 42 Safeguarding Enquiry. </w:t>
      </w:r>
    </w:p>
    <w:p w:rsidR="009B209E" w:rsidRPr="004B779A" w:rsidRDefault="009B209E" w:rsidP="009B209E">
      <w:pPr>
        <w:pStyle w:val="ListParagraph"/>
        <w:jc w:val="both"/>
        <w:rPr>
          <w:rFonts w:ascii="Arial" w:hAnsi="Arial" w:cs="Arial"/>
        </w:rPr>
      </w:pPr>
    </w:p>
    <w:p w:rsidR="009B209E" w:rsidRPr="00035C86" w:rsidRDefault="008811B9" w:rsidP="009B209E">
      <w:pPr>
        <w:jc w:val="both"/>
        <w:rPr>
          <w:rFonts w:ascii="Arial" w:hAnsi="Arial" w:cs="Arial"/>
          <w:b/>
          <w:sz w:val="28"/>
          <w:szCs w:val="28"/>
        </w:rPr>
      </w:pPr>
      <w:r w:rsidRPr="00035C86">
        <w:rPr>
          <w:rFonts w:ascii="Arial" w:hAnsi="Arial" w:cs="Arial"/>
          <w:b/>
          <w:sz w:val="28"/>
          <w:szCs w:val="28"/>
        </w:rPr>
        <w:t>DEPRIVATION OF LIBERTY SAFEGUARDS (</w:t>
      </w:r>
      <w:proofErr w:type="spellStart"/>
      <w:r w:rsidRPr="00035C86">
        <w:rPr>
          <w:rFonts w:ascii="Arial" w:hAnsi="Arial" w:cs="Arial"/>
          <w:b/>
          <w:sz w:val="28"/>
          <w:szCs w:val="28"/>
        </w:rPr>
        <w:t>DoLS</w:t>
      </w:r>
      <w:proofErr w:type="spellEnd"/>
      <w:r w:rsidRPr="00035C86">
        <w:rPr>
          <w:rFonts w:ascii="Arial" w:hAnsi="Arial" w:cs="Arial"/>
          <w:b/>
          <w:sz w:val="28"/>
          <w:szCs w:val="28"/>
        </w:rPr>
        <w:t>)</w:t>
      </w:r>
    </w:p>
    <w:p w:rsidR="009B209E" w:rsidRPr="004B779A" w:rsidRDefault="009B209E" w:rsidP="009B209E">
      <w:pPr>
        <w:jc w:val="both"/>
        <w:rPr>
          <w:rFonts w:ascii="Arial" w:hAnsi="Arial" w:cs="Arial"/>
          <w:b/>
          <w:u w:val="single"/>
        </w:rPr>
      </w:pPr>
      <w:r w:rsidRPr="004B779A">
        <w:rPr>
          <w:rFonts w:ascii="Arial" w:hAnsi="Arial" w:cs="Arial"/>
        </w:rPr>
        <w:t>Thurrock Council and all local Authorities experienced a ten-fold increase in Deprivation of Liberty Safeguards following case law developed in the Supreme Court, on 27 March 2014 in the area of the Deprivation of Liberty Safeguards (</w:t>
      </w:r>
      <w:proofErr w:type="spellStart"/>
      <w:r w:rsidRPr="004B779A">
        <w:rPr>
          <w:rFonts w:ascii="Arial" w:hAnsi="Arial" w:cs="Arial"/>
        </w:rPr>
        <w:t>DoLS</w:t>
      </w:r>
      <w:proofErr w:type="spellEnd"/>
      <w:r w:rsidRPr="004B779A">
        <w:rPr>
          <w:rFonts w:ascii="Arial" w:hAnsi="Arial" w:cs="Arial"/>
        </w:rPr>
        <w:t xml:space="preserve">). This legislation supports people who lack mental capacity in care homes and hospitals where they need these safeguards to support their care and treatment and it helps to prevent harm to them. For every such case that meets the criteria for the Safeguard, six assessments have to be completed and a citizen can be deprived of their liberty for up to 12 months.  </w:t>
      </w:r>
    </w:p>
    <w:p w:rsidR="009B209E" w:rsidRPr="004B779A" w:rsidRDefault="009B209E" w:rsidP="009B209E">
      <w:pPr>
        <w:jc w:val="both"/>
        <w:rPr>
          <w:rFonts w:ascii="Arial" w:hAnsi="Arial" w:cs="Arial"/>
        </w:rPr>
      </w:pPr>
      <w:r w:rsidRPr="004B779A">
        <w:rPr>
          <w:rFonts w:ascii="Arial" w:hAnsi="Arial" w:cs="Arial"/>
        </w:rPr>
        <w:t xml:space="preserve">The law commission was asked to review the law, as the House of Lords found that </w:t>
      </w:r>
      <w:proofErr w:type="spellStart"/>
      <w:r w:rsidRPr="004B779A">
        <w:rPr>
          <w:rFonts w:ascii="Arial" w:hAnsi="Arial" w:cs="Arial"/>
        </w:rPr>
        <w:t>DoLS</w:t>
      </w:r>
      <w:proofErr w:type="spellEnd"/>
      <w:r w:rsidRPr="004B779A">
        <w:rPr>
          <w:rFonts w:ascii="Arial" w:hAnsi="Arial" w:cs="Arial"/>
        </w:rPr>
        <w:t xml:space="preserve"> was ‘not fit for purpose’. Recommendations were made to the Government in March 2017 and the Government have responded to their proposals on 14 March 2018 and have agreed in principle for a new </w:t>
      </w:r>
      <w:r w:rsidRPr="004B779A">
        <w:rPr>
          <w:rFonts w:ascii="Arial" w:hAnsi="Arial" w:cs="Arial"/>
          <w:b/>
        </w:rPr>
        <w:t>Liberty Protection Safeguards (LPS)</w:t>
      </w:r>
      <w:r w:rsidRPr="004B779A">
        <w:rPr>
          <w:rFonts w:ascii="Arial" w:hAnsi="Arial" w:cs="Arial"/>
        </w:rPr>
        <w:t xml:space="preserve"> to be developed. </w:t>
      </w:r>
    </w:p>
    <w:p w:rsidR="009B209E" w:rsidRPr="004B779A" w:rsidRDefault="009B209E" w:rsidP="009B209E">
      <w:pPr>
        <w:jc w:val="both"/>
        <w:rPr>
          <w:rFonts w:ascii="Arial" w:hAnsi="Arial" w:cs="Arial"/>
        </w:rPr>
      </w:pPr>
      <w:r w:rsidRPr="004B779A">
        <w:rPr>
          <w:rFonts w:ascii="Arial" w:hAnsi="Arial" w:cs="Arial"/>
        </w:rPr>
        <w:t xml:space="preserve">The Government has said that it will legislate on this issue in due course and will first carefully consider the details of the proposals to ensure the new design fits with the future direction of health and social care. Thus no timescale for changes have been communicated and we need to continue to work within the </w:t>
      </w:r>
      <w:proofErr w:type="spellStart"/>
      <w:r w:rsidRPr="004B779A">
        <w:rPr>
          <w:rFonts w:ascii="Arial" w:hAnsi="Arial" w:cs="Arial"/>
        </w:rPr>
        <w:t>DoLS</w:t>
      </w:r>
      <w:proofErr w:type="spellEnd"/>
      <w:r w:rsidRPr="004B779A">
        <w:rPr>
          <w:rFonts w:ascii="Arial" w:hAnsi="Arial" w:cs="Arial"/>
        </w:rPr>
        <w:t xml:space="preserve"> scheme for now. </w:t>
      </w:r>
    </w:p>
    <w:p w:rsidR="009B209E" w:rsidRPr="004B779A" w:rsidRDefault="009B209E" w:rsidP="009B209E">
      <w:pPr>
        <w:jc w:val="both"/>
        <w:rPr>
          <w:rFonts w:ascii="Arial" w:hAnsi="Arial" w:cs="Arial"/>
          <w:b/>
        </w:rPr>
      </w:pPr>
      <w:proofErr w:type="spellStart"/>
      <w:r w:rsidRPr="004B779A">
        <w:rPr>
          <w:rFonts w:ascii="Arial" w:hAnsi="Arial" w:cs="Arial"/>
          <w:b/>
        </w:rPr>
        <w:t>DoLS</w:t>
      </w:r>
      <w:proofErr w:type="spellEnd"/>
      <w:r w:rsidRPr="004B779A">
        <w:rPr>
          <w:rFonts w:ascii="Arial" w:hAnsi="Arial" w:cs="Arial"/>
          <w:b/>
        </w:rPr>
        <w:t xml:space="preserve"> Assessments</w:t>
      </w:r>
    </w:p>
    <w:p w:rsidR="009B209E" w:rsidRPr="004B779A" w:rsidRDefault="009B209E" w:rsidP="009B209E">
      <w:pPr>
        <w:jc w:val="both"/>
        <w:rPr>
          <w:rFonts w:ascii="Arial" w:hAnsi="Arial" w:cs="Arial"/>
        </w:rPr>
      </w:pPr>
      <w:r w:rsidRPr="004B779A">
        <w:rPr>
          <w:rFonts w:ascii="Arial" w:hAnsi="Arial" w:cs="Arial"/>
        </w:rPr>
        <w:t xml:space="preserve">There are two types of Assessors; Best Interest Assessors (BIAs) and Mental Health Assessors. A Best Interest Assessor is often a social worker or nurse with additional training in this area of social work. </w:t>
      </w:r>
    </w:p>
    <w:p w:rsidR="009B209E" w:rsidRPr="004B779A" w:rsidRDefault="009B209E" w:rsidP="009B209E">
      <w:pPr>
        <w:jc w:val="both"/>
        <w:rPr>
          <w:rFonts w:ascii="Arial" w:hAnsi="Arial" w:cs="Arial"/>
        </w:rPr>
      </w:pPr>
      <w:r w:rsidRPr="004B779A">
        <w:rPr>
          <w:rFonts w:ascii="Arial" w:hAnsi="Arial" w:cs="Arial"/>
        </w:rPr>
        <w:lastRenderedPageBreak/>
        <w:t xml:space="preserve">There are only 6 Best Interest Assessors that work directly for Thurrock Council. We use external BIA’s for the majority of our work which is practice across Essex. </w:t>
      </w:r>
    </w:p>
    <w:p w:rsidR="009B209E" w:rsidRPr="004B779A" w:rsidRDefault="009B209E" w:rsidP="009B209E">
      <w:pPr>
        <w:jc w:val="both"/>
        <w:rPr>
          <w:rFonts w:ascii="Arial" w:hAnsi="Arial" w:cs="Arial"/>
          <w:b/>
        </w:rPr>
      </w:pPr>
      <w:r w:rsidRPr="004B779A">
        <w:rPr>
          <w:rFonts w:ascii="Arial" w:hAnsi="Arial" w:cs="Arial"/>
          <w:b/>
        </w:rPr>
        <w:t>Prevalence of Deprivation of Liberty Safeguards in Thurrock</w:t>
      </w:r>
    </w:p>
    <w:p w:rsidR="009B209E" w:rsidRPr="004B779A" w:rsidRDefault="009B209E" w:rsidP="009B209E">
      <w:pPr>
        <w:jc w:val="both"/>
        <w:rPr>
          <w:rFonts w:ascii="Arial" w:hAnsi="Arial" w:cs="Arial"/>
        </w:rPr>
      </w:pPr>
      <w:r w:rsidRPr="004B779A">
        <w:rPr>
          <w:rFonts w:ascii="Arial" w:hAnsi="Arial" w:cs="Arial"/>
        </w:rPr>
        <w:t xml:space="preserve">In the year 2017 – 2018 there has been 779 </w:t>
      </w:r>
      <w:proofErr w:type="spellStart"/>
      <w:r w:rsidRPr="004B779A">
        <w:rPr>
          <w:rFonts w:ascii="Arial" w:hAnsi="Arial" w:cs="Arial"/>
        </w:rPr>
        <w:t>DoLS</w:t>
      </w:r>
      <w:proofErr w:type="spellEnd"/>
      <w:r w:rsidRPr="004B779A">
        <w:rPr>
          <w:rFonts w:ascii="Arial" w:hAnsi="Arial" w:cs="Arial"/>
        </w:rPr>
        <w:t xml:space="preserve"> Applications made to Thurrock Council.  This is an increase from the previous year, where Thurrock Council had 773 </w:t>
      </w:r>
      <w:proofErr w:type="spellStart"/>
      <w:r w:rsidRPr="004B779A">
        <w:rPr>
          <w:rFonts w:ascii="Arial" w:hAnsi="Arial" w:cs="Arial"/>
        </w:rPr>
        <w:t>DoLS</w:t>
      </w:r>
      <w:proofErr w:type="spellEnd"/>
      <w:r w:rsidRPr="004B779A">
        <w:rPr>
          <w:rFonts w:ascii="Arial" w:hAnsi="Arial" w:cs="Arial"/>
        </w:rPr>
        <w:t xml:space="preserve"> Application.  </w:t>
      </w:r>
    </w:p>
    <w:tbl>
      <w:tblPr>
        <w:tblW w:w="0" w:type="auto"/>
        <w:jc w:val="center"/>
        <w:tblInd w:w="-1499" w:type="dxa"/>
        <w:tblLayout w:type="fixed"/>
        <w:tblLook w:val="04A0" w:firstRow="1" w:lastRow="0" w:firstColumn="1" w:lastColumn="0" w:noHBand="0" w:noVBand="1"/>
      </w:tblPr>
      <w:tblGrid>
        <w:gridCol w:w="3672"/>
        <w:gridCol w:w="2080"/>
        <w:gridCol w:w="2080"/>
      </w:tblGrid>
      <w:tr w:rsidR="009340AA" w:rsidRPr="009340AA" w:rsidTr="008811B9">
        <w:trPr>
          <w:trHeight w:val="300"/>
          <w:jc w:val="center"/>
        </w:trPr>
        <w:tc>
          <w:tcPr>
            <w:tcW w:w="3672" w:type="dxa"/>
            <w:tcBorders>
              <w:top w:val="single" w:sz="4" w:space="0" w:color="9BBB59"/>
              <w:left w:val="single" w:sz="4" w:space="0" w:color="9BBB59"/>
              <w:bottom w:val="nil"/>
              <w:right w:val="nil"/>
            </w:tcBorders>
            <w:shd w:val="clear" w:color="9BBB59" w:fill="9BBB59"/>
            <w:noWrap/>
            <w:vAlign w:val="bottom"/>
            <w:hideMark/>
          </w:tcPr>
          <w:p w:rsidR="008811B9" w:rsidRPr="009340AA" w:rsidRDefault="008811B9" w:rsidP="00593EB4">
            <w:pPr>
              <w:spacing w:after="0" w:line="240" w:lineRule="auto"/>
              <w:jc w:val="both"/>
              <w:rPr>
                <w:rFonts w:eastAsia="Times New Roman" w:cs="Arial"/>
                <w:b/>
                <w:bCs/>
                <w:color w:val="FFFFFF" w:themeColor="background1"/>
                <w:lang w:eastAsia="en-GB"/>
              </w:rPr>
            </w:pPr>
            <w:r w:rsidRPr="009340AA">
              <w:rPr>
                <w:rFonts w:eastAsia="Times New Roman" w:cs="Arial"/>
                <w:b/>
                <w:bCs/>
                <w:color w:val="FFFFFF" w:themeColor="background1"/>
                <w:lang w:eastAsia="en-GB"/>
              </w:rPr>
              <w:t>TABLE 8</w:t>
            </w:r>
          </w:p>
          <w:p w:rsidR="008811B9" w:rsidRPr="009340AA" w:rsidRDefault="008811B9" w:rsidP="00593EB4">
            <w:pPr>
              <w:spacing w:after="0" w:line="240" w:lineRule="auto"/>
              <w:jc w:val="both"/>
              <w:rPr>
                <w:rFonts w:eastAsia="Times New Roman" w:cs="Arial"/>
                <w:b/>
                <w:bCs/>
                <w:color w:val="FFFFFF" w:themeColor="background1"/>
                <w:lang w:eastAsia="en-GB"/>
              </w:rPr>
            </w:pPr>
          </w:p>
          <w:p w:rsidR="009B209E" w:rsidRPr="009340AA" w:rsidRDefault="009B209E" w:rsidP="00593EB4">
            <w:pPr>
              <w:spacing w:after="0" w:line="240" w:lineRule="auto"/>
              <w:jc w:val="both"/>
              <w:rPr>
                <w:rFonts w:eastAsia="Times New Roman" w:cs="Arial"/>
                <w:b/>
                <w:bCs/>
                <w:color w:val="FFFFFF" w:themeColor="background1"/>
                <w:lang w:eastAsia="en-GB"/>
              </w:rPr>
            </w:pPr>
            <w:r w:rsidRPr="009340AA">
              <w:rPr>
                <w:rFonts w:eastAsia="Times New Roman" w:cs="Arial"/>
                <w:b/>
                <w:bCs/>
                <w:color w:val="FFFFFF" w:themeColor="background1"/>
                <w:lang w:eastAsia="en-GB"/>
              </w:rPr>
              <w:t>Request Status</w:t>
            </w:r>
          </w:p>
        </w:tc>
        <w:tc>
          <w:tcPr>
            <w:tcW w:w="2080" w:type="dxa"/>
            <w:tcBorders>
              <w:top w:val="single" w:sz="4" w:space="0" w:color="9BBB59"/>
              <w:left w:val="nil"/>
              <w:bottom w:val="nil"/>
              <w:right w:val="nil"/>
            </w:tcBorders>
            <w:shd w:val="clear" w:color="9BBB59" w:fill="9BBB59"/>
            <w:noWrap/>
            <w:vAlign w:val="center"/>
            <w:hideMark/>
          </w:tcPr>
          <w:p w:rsidR="009B209E" w:rsidRPr="009340AA" w:rsidRDefault="009B209E" w:rsidP="00593EB4">
            <w:pPr>
              <w:spacing w:after="0" w:line="240" w:lineRule="auto"/>
              <w:jc w:val="both"/>
              <w:rPr>
                <w:rFonts w:eastAsia="Times New Roman" w:cs="Arial"/>
                <w:b/>
                <w:bCs/>
                <w:color w:val="FFFFFF" w:themeColor="background1"/>
                <w:lang w:eastAsia="en-GB"/>
              </w:rPr>
            </w:pPr>
            <w:r w:rsidRPr="009340AA">
              <w:rPr>
                <w:rFonts w:eastAsia="Times New Roman" w:cs="Arial"/>
                <w:b/>
                <w:bCs/>
                <w:color w:val="FFFFFF" w:themeColor="background1"/>
                <w:lang w:eastAsia="en-GB"/>
              </w:rPr>
              <w:t>Count</w:t>
            </w:r>
          </w:p>
        </w:tc>
        <w:tc>
          <w:tcPr>
            <w:tcW w:w="2080" w:type="dxa"/>
            <w:tcBorders>
              <w:top w:val="single" w:sz="4" w:space="0" w:color="9BBB59"/>
              <w:left w:val="nil"/>
              <w:bottom w:val="nil"/>
              <w:right w:val="single" w:sz="4" w:space="0" w:color="9BBB59"/>
            </w:tcBorders>
            <w:shd w:val="clear" w:color="9BBB59" w:fill="9BBB59"/>
            <w:noWrap/>
            <w:vAlign w:val="center"/>
            <w:hideMark/>
          </w:tcPr>
          <w:p w:rsidR="009B209E" w:rsidRPr="009340AA" w:rsidRDefault="009B209E" w:rsidP="00593EB4">
            <w:pPr>
              <w:spacing w:after="0" w:line="240" w:lineRule="auto"/>
              <w:jc w:val="both"/>
              <w:rPr>
                <w:rFonts w:eastAsia="Times New Roman" w:cs="Arial"/>
                <w:b/>
                <w:bCs/>
                <w:color w:val="FFFFFF" w:themeColor="background1"/>
                <w:lang w:eastAsia="en-GB"/>
              </w:rPr>
            </w:pPr>
            <w:r w:rsidRPr="009340AA">
              <w:rPr>
                <w:rFonts w:eastAsia="Times New Roman" w:cs="Arial"/>
                <w:b/>
                <w:bCs/>
                <w:color w:val="FFFFFF" w:themeColor="background1"/>
                <w:lang w:eastAsia="en-GB"/>
              </w:rPr>
              <w:t>%</w:t>
            </w:r>
          </w:p>
        </w:tc>
      </w:tr>
      <w:tr w:rsidR="004B779A" w:rsidRPr="009340AA" w:rsidTr="008811B9">
        <w:trPr>
          <w:trHeight w:val="300"/>
          <w:jc w:val="center"/>
        </w:trPr>
        <w:tc>
          <w:tcPr>
            <w:tcW w:w="3672" w:type="dxa"/>
            <w:tcBorders>
              <w:top w:val="single" w:sz="4" w:space="0" w:color="9BBB59"/>
              <w:left w:val="single" w:sz="4" w:space="0" w:color="9BBB59"/>
              <w:bottom w:val="nil"/>
              <w:right w:val="nil"/>
            </w:tcBorders>
            <w:shd w:val="clear" w:color="auto" w:fill="auto"/>
            <w:noWrap/>
            <w:vAlign w:val="bottom"/>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Not Granted</w:t>
            </w:r>
          </w:p>
        </w:tc>
        <w:tc>
          <w:tcPr>
            <w:tcW w:w="2080" w:type="dxa"/>
            <w:tcBorders>
              <w:top w:val="single" w:sz="4" w:space="0" w:color="9BBB59"/>
              <w:left w:val="nil"/>
              <w:bottom w:val="nil"/>
              <w:right w:val="nil"/>
            </w:tcBorders>
            <w:shd w:val="clear" w:color="auto" w:fill="auto"/>
            <w:noWrap/>
            <w:vAlign w:val="center"/>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7</w:t>
            </w:r>
          </w:p>
        </w:tc>
        <w:tc>
          <w:tcPr>
            <w:tcW w:w="2080" w:type="dxa"/>
            <w:tcBorders>
              <w:top w:val="single" w:sz="4" w:space="0" w:color="9BBB59"/>
              <w:left w:val="nil"/>
              <w:bottom w:val="nil"/>
              <w:right w:val="single" w:sz="4" w:space="0" w:color="9BBB59"/>
            </w:tcBorders>
            <w:shd w:val="clear" w:color="auto" w:fill="auto"/>
            <w:noWrap/>
            <w:vAlign w:val="center"/>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1%</w:t>
            </w:r>
          </w:p>
        </w:tc>
      </w:tr>
      <w:tr w:rsidR="004B779A" w:rsidRPr="009340AA" w:rsidTr="008811B9">
        <w:trPr>
          <w:trHeight w:val="300"/>
          <w:jc w:val="center"/>
        </w:trPr>
        <w:tc>
          <w:tcPr>
            <w:tcW w:w="3672" w:type="dxa"/>
            <w:tcBorders>
              <w:top w:val="single" w:sz="4" w:space="0" w:color="9BBB59"/>
              <w:left w:val="single" w:sz="4" w:space="0" w:color="9BBB59"/>
              <w:bottom w:val="nil"/>
              <w:right w:val="nil"/>
            </w:tcBorders>
            <w:shd w:val="clear" w:color="auto" w:fill="auto"/>
            <w:noWrap/>
            <w:vAlign w:val="bottom"/>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Granted</w:t>
            </w:r>
          </w:p>
        </w:tc>
        <w:tc>
          <w:tcPr>
            <w:tcW w:w="2080" w:type="dxa"/>
            <w:tcBorders>
              <w:top w:val="single" w:sz="4" w:space="0" w:color="9BBB59"/>
              <w:left w:val="nil"/>
              <w:bottom w:val="nil"/>
              <w:right w:val="nil"/>
            </w:tcBorders>
            <w:shd w:val="clear" w:color="auto" w:fill="auto"/>
            <w:noWrap/>
            <w:vAlign w:val="center"/>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499</w:t>
            </w:r>
          </w:p>
        </w:tc>
        <w:tc>
          <w:tcPr>
            <w:tcW w:w="2080" w:type="dxa"/>
            <w:tcBorders>
              <w:top w:val="single" w:sz="4" w:space="0" w:color="9BBB59"/>
              <w:left w:val="nil"/>
              <w:bottom w:val="nil"/>
              <w:right w:val="single" w:sz="4" w:space="0" w:color="9BBB59"/>
            </w:tcBorders>
            <w:shd w:val="clear" w:color="auto" w:fill="auto"/>
            <w:noWrap/>
            <w:vAlign w:val="center"/>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64%</w:t>
            </w:r>
          </w:p>
        </w:tc>
      </w:tr>
      <w:tr w:rsidR="004B779A" w:rsidRPr="009340AA" w:rsidTr="008811B9">
        <w:trPr>
          <w:trHeight w:val="300"/>
          <w:jc w:val="center"/>
        </w:trPr>
        <w:tc>
          <w:tcPr>
            <w:tcW w:w="3672" w:type="dxa"/>
            <w:tcBorders>
              <w:top w:val="single" w:sz="4" w:space="0" w:color="9BBB59"/>
              <w:left w:val="single" w:sz="4" w:space="0" w:color="9BBB59"/>
              <w:bottom w:val="nil"/>
              <w:right w:val="nil"/>
            </w:tcBorders>
            <w:shd w:val="clear" w:color="auto" w:fill="auto"/>
            <w:noWrap/>
            <w:vAlign w:val="bottom"/>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Request Withdrawn</w:t>
            </w:r>
          </w:p>
        </w:tc>
        <w:tc>
          <w:tcPr>
            <w:tcW w:w="2080" w:type="dxa"/>
            <w:tcBorders>
              <w:top w:val="single" w:sz="4" w:space="0" w:color="9BBB59"/>
              <w:left w:val="nil"/>
              <w:bottom w:val="nil"/>
              <w:right w:val="nil"/>
            </w:tcBorders>
            <w:shd w:val="clear" w:color="auto" w:fill="auto"/>
            <w:noWrap/>
            <w:vAlign w:val="center"/>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169</w:t>
            </w:r>
          </w:p>
        </w:tc>
        <w:tc>
          <w:tcPr>
            <w:tcW w:w="2080" w:type="dxa"/>
            <w:tcBorders>
              <w:top w:val="single" w:sz="4" w:space="0" w:color="9BBB59"/>
              <w:left w:val="nil"/>
              <w:bottom w:val="nil"/>
              <w:right w:val="single" w:sz="4" w:space="0" w:color="9BBB59"/>
            </w:tcBorders>
            <w:shd w:val="clear" w:color="auto" w:fill="auto"/>
            <w:noWrap/>
            <w:vAlign w:val="center"/>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22%</w:t>
            </w:r>
          </w:p>
        </w:tc>
      </w:tr>
      <w:tr w:rsidR="004B779A" w:rsidRPr="009340AA" w:rsidTr="008811B9">
        <w:trPr>
          <w:trHeight w:val="300"/>
          <w:jc w:val="center"/>
        </w:trPr>
        <w:tc>
          <w:tcPr>
            <w:tcW w:w="3672" w:type="dxa"/>
            <w:tcBorders>
              <w:top w:val="single" w:sz="4" w:space="0" w:color="9BBB59"/>
              <w:left w:val="single" w:sz="4" w:space="0" w:color="9BBB59"/>
              <w:bottom w:val="nil"/>
              <w:right w:val="nil"/>
            </w:tcBorders>
            <w:shd w:val="clear" w:color="auto" w:fill="auto"/>
            <w:noWrap/>
            <w:vAlign w:val="bottom"/>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Not signed off yet</w:t>
            </w:r>
          </w:p>
        </w:tc>
        <w:tc>
          <w:tcPr>
            <w:tcW w:w="2080" w:type="dxa"/>
            <w:tcBorders>
              <w:top w:val="single" w:sz="4" w:space="0" w:color="9BBB59"/>
              <w:left w:val="nil"/>
              <w:bottom w:val="nil"/>
              <w:right w:val="nil"/>
            </w:tcBorders>
            <w:shd w:val="clear" w:color="auto" w:fill="auto"/>
            <w:noWrap/>
            <w:vAlign w:val="center"/>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104</w:t>
            </w:r>
          </w:p>
        </w:tc>
        <w:tc>
          <w:tcPr>
            <w:tcW w:w="2080" w:type="dxa"/>
            <w:tcBorders>
              <w:top w:val="single" w:sz="4" w:space="0" w:color="9BBB59"/>
              <w:left w:val="nil"/>
              <w:bottom w:val="nil"/>
              <w:right w:val="single" w:sz="4" w:space="0" w:color="9BBB59"/>
            </w:tcBorders>
            <w:shd w:val="clear" w:color="auto" w:fill="auto"/>
            <w:noWrap/>
            <w:vAlign w:val="center"/>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13%</w:t>
            </w:r>
          </w:p>
        </w:tc>
      </w:tr>
      <w:tr w:rsidR="009B209E" w:rsidRPr="009340AA" w:rsidTr="008811B9">
        <w:trPr>
          <w:trHeight w:val="300"/>
          <w:jc w:val="center"/>
        </w:trPr>
        <w:tc>
          <w:tcPr>
            <w:tcW w:w="3672" w:type="dxa"/>
            <w:tcBorders>
              <w:top w:val="single" w:sz="4" w:space="0" w:color="9BBB59"/>
              <w:left w:val="single" w:sz="4" w:space="0" w:color="9BBB59"/>
              <w:bottom w:val="single" w:sz="4" w:space="0" w:color="9BBB59"/>
              <w:right w:val="nil"/>
            </w:tcBorders>
            <w:shd w:val="clear" w:color="auto" w:fill="auto"/>
            <w:noWrap/>
            <w:vAlign w:val="bottom"/>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Total</w:t>
            </w:r>
          </w:p>
        </w:tc>
        <w:tc>
          <w:tcPr>
            <w:tcW w:w="2080" w:type="dxa"/>
            <w:tcBorders>
              <w:top w:val="single" w:sz="4" w:space="0" w:color="9BBB59"/>
              <w:left w:val="nil"/>
              <w:bottom w:val="single" w:sz="4" w:space="0" w:color="9BBB59"/>
              <w:right w:val="nil"/>
            </w:tcBorders>
            <w:shd w:val="clear" w:color="auto" w:fill="auto"/>
            <w:noWrap/>
            <w:vAlign w:val="center"/>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779</w:t>
            </w:r>
          </w:p>
        </w:tc>
        <w:tc>
          <w:tcPr>
            <w:tcW w:w="2080" w:type="dxa"/>
            <w:tcBorders>
              <w:top w:val="single" w:sz="4" w:space="0" w:color="9BBB59"/>
              <w:left w:val="nil"/>
              <w:bottom w:val="single" w:sz="4" w:space="0" w:color="9BBB59"/>
              <w:right w:val="single" w:sz="4" w:space="0" w:color="9BBB59"/>
            </w:tcBorders>
            <w:shd w:val="clear" w:color="auto" w:fill="auto"/>
            <w:noWrap/>
            <w:vAlign w:val="center"/>
            <w:hideMark/>
          </w:tcPr>
          <w:p w:rsidR="009B209E" w:rsidRPr="009340AA" w:rsidRDefault="009B209E" w:rsidP="00593EB4">
            <w:pPr>
              <w:spacing w:after="0" w:line="240" w:lineRule="auto"/>
              <w:jc w:val="both"/>
              <w:rPr>
                <w:rFonts w:eastAsia="Times New Roman" w:cs="Arial"/>
                <w:lang w:eastAsia="en-GB"/>
              </w:rPr>
            </w:pPr>
            <w:r w:rsidRPr="009340AA">
              <w:rPr>
                <w:rFonts w:eastAsia="Times New Roman" w:cs="Arial"/>
                <w:lang w:eastAsia="en-GB"/>
              </w:rPr>
              <w:t>100.00%</w:t>
            </w:r>
          </w:p>
        </w:tc>
      </w:tr>
    </w:tbl>
    <w:p w:rsidR="009B209E" w:rsidRPr="004B779A" w:rsidRDefault="009B209E" w:rsidP="009B209E">
      <w:pPr>
        <w:jc w:val="both"/>
        <w:rPr>
          <w:rFonts w:ascii="Arial" w:hAnsi="Arial" w:cs="Arial"/>
        </w:rPr>
      </w:pPr>
    </w:p>
    <w:p w:rsidR="009B209E" w:rsidRPr="00847DDF" w:rsidRDefault="009B209E" w:rsidP="009B209E">
      <w:pPr>
        <w:jc w:val="both"/>
        <w:rPr>
          <w:rFonts w:ascii="Arial" w:hAnsi="Arial" w:cs="Arial"/>
        </w:rPr>
      </w:pPr>
      <w:r w:rsidRPr="00847DDF">
        <w:rPr>
          <w:rFonts w:ascii="Arial" w:hAnsi="Arial" w:cs="Arial"/>
        </w:rPr>
        <w:t xml:space="preserve">In table 8 above it shows that of the 779 </w:t>
      </w:r>
      <w:proofErr w:type="spellStart"/>
      <w:r w:rsidRPr="00847DDF">
        <w:rPr>
          <w:rFonts w:ascii="Arial" w:hAnsi="Arial" w:cs="Arial"/>
        </w:rPr>
        <w:t>DoLS</w:t>
      </w:r>
      <w:proofErr w:type="spellEnd"/>
      <w:r w:rsidRPr="00847DDF">
        <w:rPr>
          <w:rFonts w:ascii="Arial" w:hAnsi="Arial" w:cs="Arial"/>
        </w:rPr>
        <w:t xml:space="preserve"> Applications made to Thurrock, 75% of these </w:t>
      </w:r>
      <w:r w:rsidR="008811B9" w:rsidRPr="00847DDF">
        <w:rPr>
          <w:rFonts w:ascii="Arial" w:hAnsi="Arial" w:cs="Arial"/>
        </w:rPr>
        <w:t xml:space="preserve">resulted in a </w:t>
      </w:r>
      <w:proofErr w:type="spellStart"/>
      <w:r w:rsidR="008811B9" w:rsidRPr="00847DDF">
        <w:rPr>
          <w:rFonts w:ascii="Arial" w:hAnsi="Arial" w:cs="Arial"/>
        </w:rPr>
        <w:t>DoLS</w:t>
      </w:r>
      <w:proofErr w:type="spellEnd"/>
      <w:r w:rsidR="008811B9" w:rsidRPr="00847DDF">
        <w:rPr>
          <w:rFonts w:ascii="Arial" w:hAnsi="Arial" w:cs="Arial"/>
        </w:rPr>
        <w:t xml:space="preserve"> being issued</w:t>
      </w:r>
      <w:r w:rsidRPr="00847DDF">
        <w:rPr>
          <w:rFonts w:ascii="Arial" w:hAnsi="Arial" w:cs="Arial"/>
        </w:rPr>
        <w:t xml:space="preserve"> to help support people’s safety in either a care home or a hospital setting. </w:t>
      </w:r>
    </w:p>
    <w:p w:rsidR="009B209E" w:rsidRPr="00847DDF" w:rsidRDefault="009B209E" w:rsidP="009B209E">
      <w:pPr>
        <w:jc w:val="both"/>
        <w:rPr>
          <w:rFonts w:ascii="Arial" w:hAnsi="Arial" w:cs="Arial"/>
          <w:b/>
        </w:rPr>
      </w:pPr>
      <w:proofErr w:type="spellStart"/>
      <w:r w:rsidRPr="00847DDF">
        <w:rPr>
          <w:rFonts w:ascii="Arial" w:hAnsi="Arial" w:cs="Arial"/>
          <w:b/>
        </w:rPr>
        <w:t>DoLS</w:t>
      </w:r>
      <w:proofErr w:type="spellEnd"/>
      <w:r w:rsidRPr="00847DDF">
        <w:rPr>
          <w:rFonts w:ascii="Arial" w:hAnsi="Arial" w:cs="Arial"/>
          <w:b/>
        </w:rPr>
        <w:t xml:space="preserve"> and Case Law</w:t>
      </w:r>
    </w:p>
    <w:p w:rsidR="009B209E" w:rsidRPr="00847DDF" w:rsidRDefault="009B209E" w:rsidP="009B209E">
      <w:pPr>
        <w:jc w:val="both"/>
        <w:rPr>
          <w:rFonts w:ascii="Arial" w:hAnsi="Arial" w:cs="Arial"/>
        </w:rPr>
      </w:pPr>
      <w:r w:rsidRPr="00847DDF">
        <w:rPr>
          <w:rFonts w:ascii="Arial" w:hAnsi="Arial" w:cs="Arial"/>
        </w:rPr>
        <w:t xml:space="preserve">The biggest change in case law in the past few years was that a judge prompted for special considerations on </w:t>
      </w:r>
      <w:proofErr w:type="spellStart"/>
      <w:r w:rsidRPr="00847DDF">
        <w:rPr>
          <w:rFonts w:ascii="Arial" w:hAnsi="Arial" w:cs="Arial"/>
        </w:rPr>
        <w:t>DoLS</w:t>
      </w:r>
      <w:proofErr w:type="spellEnd"/>
      <w:r w:rsidRPr="00847DDF">
        <w:rPr>
          <w:rFonts w:ascii="Arial" w:hAnsi="Arial" w:cs="Arial"/>
        </w:rPr>
        <w:t xml:space="preserve"> to support people who have medication to manage their behaviours. For example where a person who lacks mental capacity about their care arrangement is receiving anti-psychotic as part of their treatment plan the care home must prompt the prescriber to regularly review the person’s medication as part of their care. Therefore this is rigorously checked by Thurrock </w:t>
      </w:r>
      <w:proofErr w:type="spellStart"/>
      <w:r w:rsidRPr="00847DDF">
        <w:rPr>
          <w:rFonts w:ascii="Arial" w:hAnsi="Arial" w:cs="Arial"/>
        </w:rPr>
        <w:t>DoLS</w:t>
      </w:r>
      <w:proofErr w:type="spellEnd"/>
      <w:r w:rsidRPr="00847DDF">
        <w:rPr>
          <w:rFonts w:ascii="Arial" w:hAnsi="Arial" w:cs="Arial"/>
        </w:rPr>
        <w:t xml:space="preserve"> Service to ensure service users are supported with good primary care and kept safe in this way. </w:t>
      </w:r>
    </w:p>
    <w:p w:rsidR="009B209E" w:rsidRPr="00847DDF" w:rsidRDefault="009B209E" w:rsidP="009B209E">
      <w:pPr>
        <w:jc w:val="both"/>
        <w:rPr>
          <w:rFonts w:ascii="Arial" w:hAnsi="Arial" w:cs="Arial"/>
          <w:b/>
        </w:rPr>
      </w:pPr>
      <w:r w:rsidRPr="00847DDF">
        <w:rPr>
          <w:rFonts w:ascii="Arial" w:hAnsi="Arial" w:cs="Arial"/>
          <w:b/>
        </w:rPr>
        <w:t xml:space="preserve">Legal Intervention </w:t>
      </w:r>
    </w:p>
    <w:p w:rsidR="009B209E" w:rsidRPr="00847DDF" w:rsidRDefault="009B209E" w:rsidP="009B209E">
      <w:pPr>
        <w:jc w:val="both"/>
        <w:rPr>
          <w:rFonts w:ascii="Arial" w:hAnsi="Arial" w:cs="Arial"/>
        </w:rPr>
      </w:pPr>
      <w:r w:rsidRPr="00847DDF">
        <w:rPr>
          <w:rFonts w:ascii="Arial" w:hAnsi="Arial" w:cs="Arial"/>
        </w:rPr>
        <w:t xml:space="preserve">Thurrock Council has also requested the input from the Court of Protection in a number of cases where the person is not within the remit of the current </w:t>
      </w:r>
      <w:proofErr w:type="spellStart"/>
      <w:r w:rsidRPr="00847DDF">
        <w:rPr>
          <w:rFonts w:ascii="Arial" w:hAnsi="Arial" w:cs="Arial"/>
        </w:rPr>
        <w:t>DoLS</w:t>
      </w:r>
      <w:proofErr w:type="spellEnd"/>
      <w:r w:rsidRPr="00847DDF">
        <w:rPr>
          <w:rFonts w:ascii="Arial" w:hAnsi="Arial" w:cs="Arial"/>
        </w:rPr>
        <w:t xml:space="preserve"> Scheme, because of their age and or community deprivation of liberty. The CCG is also </w:t>
      </w:r>
      <w:proofErr w:type="gramStart"/>
      <w:r w:rsidRPr="00847DDF">
        <w:rPr>
          <w:rFonts w:ascii="Arial" w:hAnsi="Arial" w:cs="Arial"/>
        </w:rPr>
        <w:t>progressing</w:t>
      </w:r>
      <w:proofErr w:type="gramEnd"/>
      <w:r w:rsidRPr="00847DDF">
        <w:rPr>
          <w:rFonts w:ascii="Arial" w:hAnsi="Arial" w:cs="Arial"/>
        </w:rPr>
        <w:t xml:space="preserve"> some cases in this manner. It is expected that when the LPS is launched these cases will fall within the remit where the local authority could authorise most cases. </w:t>
      </w:r>
    </w:p>
    <w:p w:rsidR="009B209E" w:rsidRPr="00847DDF" w:rsidRDefault="008811B9" w:rsidP="009B209E">
      <w:pPr>
        <w:rPr>
          <w:rFonts w:ascii="Arial" w:hAnsi="Arial" w:cs="Arial"/>
          <w:b/>
        </w:rPr>
      </w:pPr>
      <w:r w:rsidRPr="00847DDF">
        <w:rPr>
          <w:rFonts w:ascii="Arial" w:hAnsi="Arial" w:cs="Arial"/>
          <w:b/>
        </w:rPr>
        <w:t>FINANCE</w:t>
      </w:r>
    </w:p>
    <w:p w:rsidR="00DC3662" w:rsidRPr="00847DDF" w:rsidRDefault="00DC3662" w:rsidP="009B209E">
      <w:pPr>
        <w:rPr>
          <w:rFonts w:ascii="Arial" w:hAnsi="Arial" w:cs="Arial"/>
        </w:rPr>
      </w:pPr>
      <w:r w:rsidRPr="00847DDF">
        <w:rPr>
          <w:rFonts w:ascii="Arial" w:hAnsi="Arial" w:cs="Arial"/>
        </w:rPr>
        <w:t>Income for 2017/18 is set out below, it includes a separate fund to provide resource for a Safeguarding Adult Review, should the need arise.</w:t>
      </w:r>
    </w:p>
    <w:p w:rsidR="00DC3662" w:rsidRPr="00DC3662" w:rsidRDefault="00DC3662" w:rsidP="009B209E">
      <w:pPr>
        <w:rPr>
          <w:rFonts w:ascii="Arial" w:hAnsi="Arial" w:cs="Arial"/>
          <w:sz w:val="24"/>
          <w:szCs w:val="24"/>
        </w:rPr>
      </w:pPr>
      <w:r w:rsidRPr="00847DDF">
        <w:rPr>
          <w:rFonts w:ascii="Arial" w:hAnsi="Arial" w:cs="Arial"/>
        </w:rPr>
        <w:t xml:space="preserve">During 2017/18 the underspend grew, this was due to the board being under staffed, which led to a delay in achieving some of the board’s aims specifically around holding a conference during 2017 and developing publicity materials. </w:t>
      </w:r>
      <w:r w:rsidR="008B4B25" w:rsidRPr="00847DDF">
        <w:rPr>
          <w:rFonts w:ascii="Arial" w:hAnsi="Arial" w:cs="Arial"/>
        </w:rPr>
        <w:t>The TSAB has developed a Funding Process which organisations can apply to for relatively small projects that contribute to the delivery of the board’s objectives and overall adult safeguarding agenda.</w:t>
      </w:r>
    </w:p>
    <w:tbl>
      <w:tblPr>
        <w:tblpPr w:leftFromText="180" w:rightFromText="180" w:vertAnchor="text" w:tblpY="1"/>
        <w:tblOverlap w:val="never"/>
        <w:tblW w:w="9229" w:type="dxa"/>
        <w:tblInd w:w="93" w:type="dxa"/>
        <w:tblLayout w:type="fixed"/>
        <w:tblLook w:val="04A0" w:firstRow="1" w:lastRow="0" w:firstColumn="1" w:lastColumn="0" w:noHBand="0" w:noVBand="1"/>
      </w:tblPr>
      <w:tblGrid>
        <w:gridCol w:w="2425"/>
        <w:gridCol w:w="4769"/>
        <w:gridCol w:w="1043"/>
        <w:gridCol w:w="992"/>
      </w:tblGrid>
      <w:tr w:rsidR="004B779A" w:rsidRPr="004B779A" w:rsidTr="00502227">
        <w:trPr>
          <w:gridAfter w:val="1"/>
          <w:wAfter w:w="992" w:type="dxa"/>
          <w:trHeight w:val="300"/>
        </w:trPr>
        <w:tc>
          <w:tcPr>
            <w:tcW w:w="7194" w:type="dxa"/>
            <w:gridSpan w:val="2"/>
            <w:tcBorders>
              <w:top w:val="nil"/>
              <w:left w:val="nil"/>
              <w:bottom w:val="single" w:sz="4" w:space="0" w:color="auto"/>
              <w:right w:val="nil"/>
            </w:tcBorders>
            <w:shd w:val="clear" w:color="auto" w:fill="auto"/>
            <w:noWrap/>
            <w:vAlign w:val="bottom"/>
            <w:hideMark/>
          </w:tcPr>
          <w:p w:rsidR="00C26341" w:rsidRPr="00DC3662" w:rsidRDefault="00C26341" w:rsidP="00C26341">
            <w:pPr>
              <w:spacing w:after="0" w:line="240" w:lineRule="auto"/>
              <w:rPr>
                <w:rFonts w:ascii="Arial" w:eastAsia="Times New Roman" w:hAnsi="Arial" w:cs="Arial"/>
                <w:b/>
                <w:bCs/>
                <w:lang w:eastAsia="en-GB"/>
              </w:rPr>
            </w:pPr>
            <w:r w:rsidRPr="00DC3662">
              <w:rPr>
                <w:rFonts w:ascii="Arial" w:eastAsia="Times New Roman" w:hAnsi="Arial" w:cs="Arial"/>
                <w:b/>
                <w:bCs/>
                <w:lang w:eastAsia="en-GB"/>
              </w:rPr>
              <w:lastRenderedPageBreak/>
              <w:t>INCOME 2017/18</w:t>
            </w:r>
          </w:p>
        </w:tc>
        <w:tc>
          <w:tcPr>
            <w:tcW w:w="1043" w:type="dxa"/>
            <w:tcBorders>
              <w:top w:val="nil"/>
              <w:left w:val="nil"/>
              <w:bottom w:val="single" w:sz="4" w:space="0" w:color="auto"/>
              <w:right w:val="nil"/>
            </w:tcBorders>
            <w:shd w:val="clear" w:color="auto" w:fill="auto"/>
            <w:vAlign w:val="bottom"/>
            <w:hideMark/>
          </w:tcPr>
          <w:p w:rsidR="00C26341" w:rsidRPr="00DC3662" w:rsidRDefault="00C26341" w:rsidP="00C26341">
            <w:pPr>
              <w:spacing w:after="0" w:line="240" w:lineRule="auto"/>
              <w:rPr>
                <w:rFonts w:ascii="Arial" w:eastAsia="Times New Roman" w:hAnsi="Arial" w:cs="Arial"/>
                <w:b/>
                <w:bCs/>
                <w:lang w:eastAsia="en-GB"/>
              </w:rPr>
            </w:pPr>
            <w:r w:rsidRPr="00DC3662">
              <w:rPr>
                <w:rFonts w:ascii="Arial" w:eastAsia="Times New Roman" w:hAnsi="Arial" w:cs="Arial"/>
                <w:b/>
                <w:bCs/>
                <w:lang w:eastAsia="en-GB"/>
              </w:rPr>
              <w:t>£</w:t>
            </w:r>
          </w:p>
        </w:tc>
      </w:tr>
      <w:tr w:rsidR="004B779A" w:rsidRPr="004B779A" w:rsidTr="00502227">
        <w:trPr>
          <w:gridAfter w:val="1"/>
          <w:wAfter w:w="992" w:type="dxa"/>
          <w:trHeight w:val="300"/>
        </w:trPr>
        <w:tc>
          <w:tcPr>
            <w:tcW w:w="7194" w:type="dxa"/>
            <w:gridSpan w:val="2"/>
            <w:tcBorders>
              <w:top w:val="nil"/>
              <w:left w:val="nil"/>
              <w:bottom w:val="nil"/>
              <w:right w:val="nil"/>
            </w:tcBorders>
            <w:shd w:val="clear" w:color="auto" w:fill="auto"/>
            <w:noWrap/>
            <w:vAlign w:val="bottom"/>
            <w:hideMark/>
          </w:tcPr>
          <w:p w:rsidR="00C26341" w:rsidRPr="00DC3662" w:rsidRDefault="00C26341" w:rsidP="00C26341">
            <w:pPr>
              <w:spacing w:after="0" w:line="240" w:lineRule="auto"/>
              <w:rPr>
                <w:rFonts w:ascii="Arial" w:eastAsia="Times New Roman" w:hAnsi="Arial" w:cs="Arial"/>
                <w:lang w:eastAsia="en-GB"/>
              </w:rPr>
            </w:pPr>
            <w:r w:rsidRPr="00DC3662">
              <w:rPr>
                <w:rFonts w:ascii="Arial" w:eastAsia="Times New Roman" w:hAnsi="Arial" w:cs="Arial"/>
                <w:lang w:eastAsia="en-GB"/>
              </w:rPr>
              <w:t xml:space="preserve">Thurrock Borough Council </w:t>
            </w:r>
          </w:p>
        </w:tc>
        <w:tc>
          <w:tcPr>
            <w:tcW w:w="1043" w:type="dxa"/>
            <w:tcBorders>
              <w:top w:val="nil"/>
              <w:left w:val="nil"/>
              <w:bottom w:val="nil"/>
              <w:right w:val="nil"/>
            </w:tcBorders>
            <w:shd w:val="clear" w:color="auto" w:fill="auto"/>
            <w:vAlign w:val="bottom"/>
            <w:hideMark/>
          </w:tcPr>
          <w:p w:rsidR="00C26341" w:rsidRPr="00DC3662" w:rsidRDefault="00C26341" w:rsidP="00C26341">
            <w:pPr>
              <w:spacing w:after="0" w:line="240" w:lineRule="auto"/>
              <w:jc w:val="right"/>
              <w:rPr>
                <w:rFonts w:ascii="Arial" w:eastAsia="Times New Roman" w:hAnsi="Arial" w:cs="Arial"/>
                <w:lang w:eastAsia="en-GB"/>
              </w:rPr>
            </w:pPr>
            <w:r w:rsidRPr="00DC3662">
              <w:rPr>
                <w:rFonts w:ascii="Arial" w:eastAsia="Times New Roman" w:hAnsi="Arial" w:cs="Arial"/>
                <w:lang w:eastAsia="en-GB"/>
              </w:rPr>
              <w:t>37,500</w:t>
            </w:r>
          </w:p>
        </w:tc>
      </w:tr>
      <w:tr w:rsidR="004B779A" w:rsidRPr="004B779A" w:rsidTr="00502227">
        <w:trPr>
          <w:gridAfter w:val="1"/>
          <w:wAfter w:w="992" w:type="dxa"/>
          <w:trHeight w:val="300"/>
        </w:trPr>
        <w:tc>
          <w:tcPr>
            <w:tcW w:w="7194" w:type="dxa"/>
            <w:gridSpan w:val="2"/>
            <w:tcBorders>
              <w:top w:val="single" w:sz="4" w:space="0" w:color="auto"/>
              <w:left w:val="nil"/>
              <w:bottom w:val="single" w:sz="4" w:space="0" w:color="auto"/>
              <w:right w:val="nil"/>
            </w:tcBorders>
            <w:shd w:val="clear" w:color="auto" w:fill="auto"/>
            <w:noWrap/>
            <w:vAlign w:val="bottom"/>
            <w:hideMark/>
          </w:tcPr>
          <w:p w:rsidR="00C26341" w:rsidRPr="00DC3662" w:rsidRDefault="00C26341" w:rsidP="00C26341">
            <w:pPr>
              <w:spacing w:after="0" w:line="240" w:lineRule="auto"/>
              <w:rPr>
                <w:rFonts w:ascii="Arial" w:eastAsia="Times New Roman" w:hAnsi="Arial" w:cs="Arial"/>
                <w:lang w:eastAsia="en-GB"/>
              </w:rPr>
            </w:pPr>
            <w:r w:rsidRPr="00DC3662">
              <w:rPr>
                <w:rFonts w:ascii="Arial" w:eastAsia="Times New Roman" w:hAnsi="Arial" w:cs="Arial"/>
                <w:lang w:eastAsia="en-GB"/>
              </w:rPr>
              <w:t xml:space="preserve">Thurrock Clinical Commissioning Group </w:t>
            </w:r>
          </w:p>
        </w:tc>
        <w:tc>
          <w:tcPr>
            <w:tcW w:w="1043" w:type="dxa"/>
            <w:tcBorders>
              <w:top w:val="single" w:sz="4" w:space="0" w:color="auto"/>
              <w:left w:val="nil"/>
              <w:bottom w:val="single" w:sz="4" w:space="0" w:color="auto"/>
              <w:right w:val="nil"/>
            </w:tcBorders>
            <w:shd w:val="clear" w:color="auto" w:fill="auto"/>
            <w:vAlign w:val="bottom"/>
            <w:hideMark/>
          </w:tcPr>
          <w:p w:rsidR="00C26341" w:rsidRPr="00DC3662" w:rsidRDefault="00C26341" w:rsidP="00C26341">
            <w:pPr>
              <w:spacing w:after="0" w:line="240" w:lineRule="auto"/>
              <w:jc w:val="right"/>
              <w:rPr>
                <w:rFonts w:ascii="Arial" w:eastAsia="Times New Roman" w:hAnsi="Arial" w:cs="Arial"/>
                <w:lang w:eastAsia="en-GB"/>
              </w:rPr>
            </w:pPr>
            <w:r w:rsidRPr="00DC3662">
              <w:rPr>
                <w:rFonts w:ascii="Arial" w:eastAsia="Times New Roman" w:hAnsi="Arial" w:cs="Arial"/>
                <w:lang w:eastAsia="en-GB"/>
              </w:rPr>
              <w:t>18,750</w:t>
            </w:r>
          </w:p>
        </w:tc>
      </w:tr>
      <w:tr w:rsidR="004B779A" w:rsidRPr="004B779A" w:rsidTr="00502227">
        <w:trPr>
          <w:gridAfter w:val="1"/>
          <w:wAfter w:w="992" w:type="dxa"/>
          <w:trHeight w:val="300"/>
        </w:trPr>
        <w:tc>
          <w:tcPr>
            <w:tcW w:w="7194" w:type="dxa"/>
            <w:gridSpan w:val="2"/>
            <w:tcBorders>
              <w:top w:val="nil"/>
              <w:left w:val="nil"/>
              <w:bottom w:val="single" w:sz="4" w:space="0" w:color="auto"/>
              <w:right w:val="nil"/>
            </w:tcBorders>
            <w:shd w:val="clear" w:color="auto" w:fill="auto"/>
            <w:noWrap/>
            <w:vAlign w:val="bottom"/>
            <w:hideMark/>
          </w:tcPr>
          <w:p w:rsidR="00C26341" w:rsidRPr="00DC3662" w:rsidRDefault="00C26341" w:rsidP="00C26341">
            <w:pPr>
              <w:spacing w:after="0" w:line="240" w:lineRule="auto"/>
              <w:rPr>
                <w:rFonts w:ascii="Arial" w:eastAsia="Times New Roman" w:hAnsi="Arial" w:cs="Arial"/>
                <w:lang w:eastAsia="en-GB"/>
              </w:rPr>
            </w:pPr>
            <w:r w:rsidRPr="00DC3662">
              <w:rPr>
                <w:rFonts w:ascii="Arial" w:eastAsia="Times New Roman" w:hAnsi="Arial" w:cs="Arial"/>
                <w:lang w:eastAsia="en-GB"/>
              </w:rPr>
              <w:t xml:space="preserve">Office of the Police, Fire &amp; Crime Commissioner </w:t>
            </w:r>
          </w:p>
        </w:tc>
        <w:tc>
          <w:tcPr>
            <w:tcW w:w="1043" w:type="dxa"/>
            <w:tcBorders>
              <w:top w:val="nil"/>
              <w:left w:val="nil"/>
              <w:bottom w:val="single" w:sz="4" w:space="0" w:color="auto"/>
              <w:right w:val="nil"/>
            </w:tcBorders>
            <w:shd w:val="clear" w:color="auto" w:fill="auto"/>
            <w:vAlign w:val="bottom"/>
            <w:hideMark/>
          </w:tcPr>
          <w:p w:rsidR="00C26341" w:rsidRPr="00DC3662" w:rsidRDefault="00C26341" w:rsidP="00C26341">
            <w:pPr>
              <w:spacing w:after="0" w:line="240" w:lineRule="auto"/>
              <w:jc w:val="right"/>
              <w:rPr>
                <w:rFonts w:ascii="Arial" w:eastAsia="Times New Roman" w:hAnsi="Arial" w:cs="Arial"/>
                <w:lang w:eastAsia="en-GB"/>
              </w:rPr>
            </w:pPr>
            <w:r w:rsidRPr="00DC3662">
              <w:rPr>
                <w:rFonts w:ascii="Arial" w:eastAsia="Times New Roman" w:hAnsi="Arial" w:cs="Arial"/>
                <w:lang w:eastAsia="en-GB"/>
              </w:rPr>
              <w:t>18,750</w:t>
            </w:r>
          </w:p>
        </w:tc>
      </w:tr>
      <w:tr w:rsidR="00E020EA" w:rsidRPr="004B779A" w:rsidTr="00502227">
        <w:trPr>
          <w:gridAfter w:val="1"/>
          <w:wAfter w:w="992" w:type="dxa"/>
          <w:trHeight w:val="300"/>
        </w:trPr>
        <w:tc>
          <w:tcPr>
            <w:tcW w:w="7194" w:type="dxa"/>
            <w:gridSpan w:val="2"/>
            <w:tcBorders>
              <w:top w:val="nil"/>
              <w:left w:val="nil"/>
              <w:bottom w:val="single" w:sz="4" w:space="0" w:color="auto"/>
              <w:right w:val="nil"/>
            </w:tcBorders>
            <w:shd w:val="clear" w:color="auto" w:fill="auto"/>
            <w:noWrap/>
            <w:vAlign w:val="bottom"/>
          </w:tcPr>
          <w:p w:rsidR="00E020EA" w:rsidRPr="00DC3662" w:rsidRDefault="00E020EA" w:rsidP="00C26341">
            <w:pPr>
              <w:spacing w:after="0" w:line="240" w:lineRule="auto"/>
              <w:rPr>
                <w:rFonts w:ascii="Arial" w:eastAsia="Times New Roman" w:hAnsi="Arial" w:cs="Arial"/>
                <w:lang w:eastAsia="en-GB"/>
              </w:rPr>
            </w:pPr>
            <w:r w:rsidRPr="00DC3662">
              <w:rPr>
                <w:rFonts w:ascii="Arial" w:eastAsia="Times New Roman" w:hAnsi="Arial" w:cs="Arial"/>
                <w:lang w:eastAsia="en-GB"/>
              </w:rPr>
              <w:t>SAR Fund: EPUT &amp; NELFT</w:t>
            </w:r>
          </w:p>
        </w:tc>
        <w:tc>
          <w:tcPr>
            <w:tcW w:w="1043" w:type="dxa"/>
            <w:tcBorders>
              <w:top w:val="nil"/>
              <w:left w:val="nil"/>
              <w:bottom w:val="single" w:sz="4" w:space="0" w:color="auto"/>
              <w:right w:val="nil"/>
            </w:tcBorders>
            <w:shd w:val="clear" w:color="auto" w:fill="auto"/>
            <w:vAlign w:val="bottom"/>
          </w:tcPr>
          <w:p w:rsidR="00E020EA" w:rsidRPr="00DC3662" w:rsidRDefault="00E020EA" w:rsidP="00C26341">
            <w:pPr>
              <w:spacing w:after="0" w:line="240" w:lineRule="auto"/>
              <w:jc w:val="right"/>
              <w:rPr>
                <w:rFonts w:ascii="Arial" w:eastAsia="Times New Roman" w:hAnsi="Arial" w:cs="Arial"/>
                <w:lang w:eastAsia="en-GB"/>
              </w:rPr>
            </w:pPr>
            <w:r w:rsidRPr="00DC3662">
              <w:rPr>
                <w:rFonts w:ascii="Arial" w:eastAsia="Times New Roman" w:hAnsi="Arial" w:cs="Arial"/>
                <w:lang w:eastAsia="en-GB"/>
              </w:rPr>
              <w:t>10,000</w:t>
            </w:r>
          </w:p>
        </w:tc>
      </w:tr>
      <w:tr w:rsidR="004B779A" w:rsidRPr="004B779A" w:rsidTr="00502227">
        <w:trPr>
          <w:gridAfter w:val="1"/>
          <w:wAfter w:w="992" w:type="dxa"/>
          <w:trHeight w:val="300"/>
        </w:trPr>
        <w:tc>
          <w:tcPr>
            <w:tcW w:w="7194" w:type="dxa"/>
            <w:gridSpan w:val="2"/>
            <w:tcBorders>
              <w:top w:val="nil"/>
              <w:left w:val="nil"/>
              <w:bottom w:val="single" w:sz="4" w:space="0" w:color="auto"/>
              <w:right w:val="nil"/>
            </w:tcBorders>
            <w:shd w:val="clear" w:color="auto" w:fill="auto"/>
            <w:noWrap/>
            <w:vAlign w:val="bottom"/>
            <w:hideMark/>
          </w:tcPr>
          <w:p w:rsidR="00C26341" w:rsidRPr="00DC3662" w:rsidRDefault="00C26341" w:rsidP="00C26341">
            <w:pPr>
              <w:spacing w:after="0" w:line="240" w:lineRule="auto"/>
              <w:rPr>
                <w:rFonts w:ascii="Arial" w:eastAsia="Times New Roman" w:hAnsi="Arial" w:cs="Arial"/>
                <w:lang w:eastAsia="en-GB"/>
              </w:rPr>
            </w:pPr>
            <w:r w:rsidRPr="00DC3662">
              <w:rPr>
                <w:rFonts w:ascii="Arial" w:eastAsia="Times New Roman" w:hAnsi="Arial" w:cs="Arial"/>
                <w:lang w:eastAsia="en-GB"/>
              </w:rPr>
              <w:t>2016/17 underspend</w:t>
            </w:r>
          </w:p>
        </w:tc>
        <w:tc>
          <w:tcPr>
            <w:tcW w:w="1043" w:type="dxa"/>
            <w:tcBorders>
              <w:top w:val="nil"/>
              <w:left w:val="nil"/>
              <w:bottom w:val="single" w:sz="4" w:space="0" w:color="auto"/>
              <w:right w:val="nil"/>
            </w:tcBorders>
            <w:shd w:val="clear" w:color="auto" w:fill="auto"/>
            <w:vAlign w:val="bottom"/>
            <w:hideMark/>
          </w:tcPr>
          <w:p w:rsidR="00C26341" w:rsidRPr="00DC3662" w:rsidRDefault="00C26341" w:rsidP="00C26341">
            <w:pPr>
              <w:spacing w:after="0" w:line="240" w:lineRule="auto"/>
              <w:jc w:val="right"/>
              <w:rPr>
                <w:rFonts w:ascii="Arial" w:eastAsia="Times New Roman" w:hAnsi="Arial" w:cs="Arial"/>
                <w:lang w:eastAsia="en-GB"/>
              </w:rPr>
            </w:pPr>
            <w:r w:rsidRPr="00DC3662">
              <w:rPr>
                <w:rFonts w:ascii="Arial" w:eastAsia="Times New Roman" w:hAnsi="Arial" w:cs="Arial"/>
                <w:lang w:eastAsia="en-GB"/>
              </w:rPr>
              <w:t>38,790</w:t>
            </w:r>
          </w:p>
        </w:tc>
      </w:tr>
      <w:tr w:rsidR="004B779A" w:rsidRPr="004B779A" w:rsidTr="00502227">
        <w:trPr>
          <w:gridAfter w:val="1"/>
          <w:wAfter w:w="992" w:type="dxa"/>
          <w:trHeight w:val="315"/>
        </w:trPr>
        <w:tc>
          <w:tcPr>
            <w:tcW w:w="7194" w:type="dxa"/>
            <w:gridSpan w:val="2"/>
            <w:tcBorders>
              <w:top w:val="single" w:sz="4" w:space="0" w:color="auto"/>
              <w:left w:val="nil"/>
              <w:bottom w:val="single" w:sz="4" w:space="0" w:color="auto"/>
              <w:right w:val="nil"/>
            </w:tcBorders>
            <w:shd w:val="clear" w:color="auto" w:fill="auto"/>
            <w:noWrap/>
            <w:vAlign w:val="bottom"/>
            <w:hideMark/>
          </w:tcPr>
          <w:p w:rsidR="00C26341" w:rsidRPr="00DC3662" w:rsidRDefault="00C26341" w:rsidP="00C26341">
            <w:pPr>
              <w:spacing w:after="0" w:line="240" w:lineRule="auto"/>
              <w:jc w:val="right"/>
              <w:rPr>
                <w:rFonts w:ascii="Arial" w:eastAsia="Times New Roman" w:hAnsi="Arial" w:cs="Arial"/>
                <w:b/>
                <w:bCs/>
                <w:lang w:eastAsia="en-GB"/>
              </w:rPr>
            </w:pPr>
            <w:r w:rsidRPr="00DC3662">
              <w:rPr>
                <w:rFonts w:ascii="Arial" w:eastAsia="Times New Roman" w:hAnsi="Arial" w:cs="Arial"/>
                <w:b/>
                <w:bCs/>
                <w:lang w:eastAsia="en-GB"/>
              </w:rPr>
              <w:t>TOTAL</w:t>
            </w:r>
          </w:p>
        </w:tc>
        <w:tc>
          <w:tcPr>
            <w:tcW w:w="1043" w:type="dxa"/>
            <w:tcBorders>
              <w:top w:val="single" w:sz="4" w:space="0" w:color="auto"/>
              <w:left w:val="nil"/>
              <w:bottom w:val="single" w:sz="4" w:space="0" w:color="auto"/>
              <w:right w:val="nil"/>
            </w:tcBorders>
            <w:shd w:val="clear" w:color="auto" w:fill="auto"/>
            <w:vAlign w:val="bottom"/>
            <w:hideMark/>
          </w:tcPr>
          <w:p w:rsidR="00C26341" w:rsidRPr="00DC3662" w:rsidRDefault="00E020EA" w:rsidP="00C26341">
            <w:pPr>
              <w:spacing w:after="0" w:line="240" w:lineRule="auto"/>
              <w:jc w:val="right"/>
              <w:rPr>
                <w:rFonts w:ascii="Arial" w:eastAsia="Times New Roman" w:hAnsi="Arial" w:cs="Arial"/>
                <w:b/>
                <w:lang w:eastAsia="en-GB"/>
              </w:rPr>
            </w:pPr>
            <w:r w:rsidRPr="00DC3662">
              <w:rPr>
                <w:rFonts w:ascii="Arial" w:eastAsia="Times New Roman" w:hAnsi="Arial" w:cs="Arial"/>
                <w:b/>
                <w:lang w:eastAsia="en-GB"/>
              </w:rPr>
              <w:t>12</w:t>
            </w:r>
            <w:r w:rsidR="00C26341" w:rsidRPr="00DC3662">
              <w:rPr>
                <w:rFonts w:ascii="Arial" w:eastAsia="Times New Roman" w:hAnsi="Arial" w:cs="Arial"/>
                <w:b/>
                <w:lang w:eastAsia="en-GB"/>
              </w:rPr>
              <w:t>3,790</w:t>
            </w:r>
          </w:p>
        </w:tc>
      </w:tr>
      <w:tr w:rsidR="004B779A" w:rsidRPr="004B779A" w:rsidTr="00502227">
        <w:trPr>
          <w:gridAfter w:val="1"/>
          <w:wAfter w:w="992" w:type="dxa"/>
          <w:trHeight w:val="315"/>
        </w:trPr>
        <w:tc>
          <w:tcPr>
            <w:tcW w:w="7194" w:type="dxa"/>
            <w:gridSpan w:val="2"/>
            <w:tcBorders>
              <w:top w:val="single" w:sz="4" w:space="0" w:color="auto"/>
              <w:left w:val="nil"/>
              <w:right w:val="nil"/>
            </w:tcBorders>
            <w:shd w:val="clear" w:color="auto" w:fill="auto"/>
            <w:noWrap/>
            <w:vAlign w:val="bottom"/>
          </w:tcPr>
          <w:p w:rsidR="00C26341" w:rsidRPr="004B779A" w:rsidRDefault="00C26341" w:rsidP="00C26341">
            <w:pPr>
              <w:spacing w:after="0" w:line="240" w:lineRule="auto"/>
              <w:jc w:val="right"/>
              <w:rPr>
                <w:rFonts w:ascii="Arial" w:eastAsia="Times New Roman" w:hAnsi="Arial" w:cs="Arial"/>
                <w:b/>
                <w:bCs/>
                <w:sz w:val="24"/>
                <w:szCs w:val="24"/>
                <w:lang w:eastAsia="en-GB"/>
              </w:rPr>
            </w:pPr>
          </w:p>
          <w:p w:rsidR="00C26341" w:rsidRPr="004B779A" w:rsidRDefault="00C26341" w:rsidP="00C26341">
            <w:pPr>
              <w:spacing w:after="0" w:line="240" w:lineRule="auto"/>
              <w:jc w:val="right"/>
              <w:rPr>
                <w:rFonts w:ascii="Arial" w:eastAsia="Times New Roman" w:hAnsi="Arial" w:cs="Arial"/>
                <w:b/>
                <w:bCs/>
                <w:sz w:val="24"/>
                <w:szCs w:val="24"/>
                <w:lang w:eastAsia="en-GB"/>
              </w:rPr>
            </w:pPr>
          </w:p>
        </w:tc>
        <w:tc>
          <w:tcPr>
            <w:tcW w:w="1043" w:type="dxa"/>
            <w:tcBorders>
              <w:top w:val="single" w:sz="4" w:space="0" w:color="auto"/>
              <w:left w:val="nil"/>
              <w:right w:val="nil"/>
            </w:tcBorders>
            <w:shd w:val="clear" w:color="auto" w:fill="auto"/>
            <w:vAlign w:val="bottom"/>
          </w:tcPr>
          <w:p w:rsidR="00C26341" w:rsidRPr="004B779A" w:rsidRDefault="00C26341" w:rsidP="00C26341">
            <w:pPr>
              <w:spacing w:after="0" w:line="240" w:lineRule="auto"/>
              <w:jc w:val="right"/>
              <w:rPr>
                <w:rFonts w:ascii="Arial" w:eastAsia="Times New Roman" w:hAnsi="Arial" w:cs="Arial"/>
                <w:b/>
                <w:sz w:val="24"/>
                <w:szCs w:val="24"/>
                <w:lang w:eastAsia="en-GB"/>
              </w:rPr>
            </w:pPr>
          </w:p>
        </w:tc>
      </w:tr>
      <w:tr w:rsidR="004B779A" w:rsidRPr="004B779A" w:rsidTr="00502227">
        <w:trPr>
          <w:gridAfter w:val="1"/>
          <w:wAfter w:w="992" w:type="dxa"/>
          <w:trHeight w:val="255"/>
        </w:trPr>
        <w:tc>
          <w:tcPr>
            <w:tcW w:w="2425" w:type="dxa"/>
            <w:tcBorders>
              <w:top w:val="single" w:sz="4" w:space="0" w:color="000000"/>
              <w:left w:val="single" w:sz="4" w:space="0" w:color="000000"/>
              <w:bottom w:val="single" w:sz="4" w:space="0" w:color="000000"/>
              <w:right w:val="single" w:sz="4" w:space="0" w:color="000000"/>
            </w:tcBorders>
            <w:shd w:val="clear" w:color="000000" w:fill="EDEFF3"/>
            <w:vAlign w:val="bottom"/>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12" w:space="0" w:color="6666CC"/>
              <w:left w:val="single" w:sz="8" w:space="0" w:color="959595"/>
              <w:bottom w:val="single" w:sz="8" w:space="0" w:color="959595"/>
              <w:right w:val="single" w:sz="8" w:space="0" w:color="959595"/>
            </w:tcBorders>
            <w:shd w:val="clear" w:color="000000" w:fill="EDEFF3"/>
            <w:vAlign w:val="bottom"/>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Subjective Detail</w:t>
            </w:r>
          </w:p>
        </w:tc>
        <w:tc>
          <w:tcPr>
            <w:tcW w:w="1043" w:type="dxa"/>
            <w:tcBorders>
              <w:top w:val="single" w:sz="4" w:space="0" w:color="000000"/>
              <w:left w:val="single" w:sz="8" w:space="0" w:color="959595"/>
              <w:bottom w:val="single" w:sz="4" w:space="0" w:color="000000"/>
              <w:right w:val="single" w:sz="4" w:space="0" w:color="000000"/>
            </w:tcBorders>
            <w:shd w:val="clear" w:color="000000" w:fill="EDEFF3"/>
            <w:vAlign w:val="bottom"/>
          </w:tcPr>
          <w:p w:rsidR="00C26341" w:rsidRPr="004B779A" w:rsidRDefault="00C26341" w:rsidP="00C26341">
            <w:pPr>
              <w:spacing w:after="0" w:line="240" w:lineRule="auto"/>
              <w:rPr>
                <w:rFonts w:ascii="Arial" w:eastAsia="Times New Roman" w:hAnsi="Arial" w:cs="Arial"/>
                <w:lang w:eastAsia="en-GB"/>
              </w:rPr>
            </w:pPr>
          </w:p>
        </w:tc>
      </w:tr>
      <w:tr w:rsidR="004B779A" w:rsidRPr="004B779A" w:rsidTr="00502227">
        <w:trPr>
          <w:gridAfter w:val="1"/>
          <w:wAfter w:w="992" w:type="dxa"/>
          <w:trHeight w:val="240"/>
        </w:trPr>
        <w:tc>
          <w:tcPr>
            <w:tcW w:w="2425" w:type="dxa"/>
            <w:vMerge w:val="restart"/>
            <w:tcBorders>
              <w:top w:val="single" w:sz="8" w:space="0" w:color="959595"/>
              <w:left w:val="single" w:sz="4" w:space="0" w:color="000000"/>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SF709 - Safeguarding Adults Board</w:t>
            </w: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0001 - Salary</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43,507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0016 - Overtime</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22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0060 - National Insurance</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3,784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0065 - Superannuation</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4,352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 xml:space="preserve">0066 - Super Reversal of employer pensions </w:t>
            </w:r>
            <w:proofErr w:type="spellStart"/>
            <w:r w:rsidRPr="004B779A">
              <w:rPr>
                <w:rFonts w:ascii="Arial" w:eastAsia="Times New Roman" w:hAnsi="Arial" w:cs="Arial"/>
                <w:lang w:eastAsia="en-GB"/>
              </w:rPr>
              <w:t>conts</w:t>
            </w:r>
            <w:proofErr w:type="spellEnd"/>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0072 - Current Service Costs (Retirement Benefits)</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0300 - Staff Advertising</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80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0360 - Seminars And Courses</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70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0593 - Gas</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0630 - Rent Payable</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1250 - Reimbursement Of Fares</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1300 - Car Allowances</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508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1400 - Equipment Purchase</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1422 - Materials Purchase</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1750 - Professional Fees</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2,500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1753 - Consultant Fees</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1906 - IT Project Related Expenditure</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4,998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2047 - Joint Finance</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1,087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2104 - Project Work</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2,000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2600 - Private Contractors</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2,500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2625 - Accommodation Payments</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96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2779 - Additional Expenditure</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 xml:space="preserve">0 </w:t>
            </w:r>
          </w:p>
        </w:tc>
      </w:tr>
      <w:tr w:rsidR="004B779A" w:rsidRPr="004B779A" w:rsidTr="00502227">
        <w:trPr>
          <w:gridAfter w:val="1"/>
          <w:wAfter w:w="992" w:type="dxa"/>
          <w:trHeight w:val="240"/>
        </w:trPr>
        <w:tc>
          <w:tcPr>
            <w:tcW w:w="2425" w:type="dxa"/>
            <w:vMerge/>
            <w:tcBorders>
              <w:top w:val="single" w:sz="8" w:space="0" w:color="959595"/>
              <w:left w:val="single" w:sz="4" w:space="0" w:color="000000"/>
              <w:bottom w:val="single" w:sz="8" w:space="0" w:color="959595"/>
              <w:right w:val="single" w:sz="8" w:space="0" w:color="959595"/>
            </w:tcBorders>
            <w:vAlign w:val="center"/>
            <w:hideMark/>
          </w:tcPr>
          <w:p w:rsidR="00C26341" w:rsidRPr="004B779A" w:rsidRDefault="00C26341" w:rsidP="00C26341">
            <w:pPr>
              <w:spacing w:after="0" w:line="240" w:lineRule="auto"/>
              <w:rPr>
                <w:rFonts w:ascii="Arial" w:eastAsia="Times New Roman" w:hAnsi="Arial" w:cs="Arial"/>
                <w:lang w:eastAsia="en-GB"/>
              </w:rPr>
            </w:pPr>
          </w:p>
        </w:tc>
        <w:tc>
          <w:tcPr>
            <w:tcW w:w="4769" w:type="dxa"/>
            <w:tcBorders>
              <w:top w:val="single" w:sz="8" w:space="0" w:color="959595"/>
              <w:left w:val="nil"/>
              <w:bottom w:val="single" w:sz="8" w:space="0" w:color="959595"/>
              <w:right w:val="single" w:sz="8" w:space="0" w:color="959595"/>
            </w:tcBorders>
            <w:shd w:val="clear" w:color="000000" w:fill="E7F2E6"/>
            <w:hideMark/>
          </w:tcPr>
          <w:p w:rsidR="00C26341" w:rsidRPr="004B779A" w:rsidRDefault="00C26341" w:rsidP="00C26341">
            <w:pPr>
              <w:spacing w:after="0" w:line="240" w:lineRule="auto"/>
              <w:rPr>
                <w:rFonts w:ascii="Arial" w:eastAsia="Times New Roman" w:hAnsi="Arial" w:cs="Arial"/>
                <w:lang w:eastAsia="en-GB"/>
              </w:rPr>
            </w:pPr>
            <w:r w:rsidRPr="004B779A">
              <w:rPr>
                <w:rFonts w:ascii="Arial" w:eastAsia="Times New Roman" w:hAnsi="Arial" w:cs="Arial"/>
                <w:lang w:eastAsia="en-GB"/>
              </w:rPr>
              <w:t>4272 - Contributions From Other Bodies</w:t>
            </w:r>
          </w:p>
        </w:tc>
        <w:tc>
          <w:tcPr>
            <w:tcW w:w="1043" w:type="dxa"/>
            <w:tcBorders>
              <w:top w:val="single" w:sz="8" w:space="0" w:color="959595"/>
              <w:left w:val="single" w:sz="8" w:space="0" w:color="959595"/>
              <w:bottom w:val="single" w:sz="4" w:space="0" w:color="000000"/>
              <w:right w:val="single" w:sz="4" w:space="0" w:color="000000"/>
            </w:tcBorders>
            <w:shd w:val="clear" w:color="000000" w:fill="E7F2E6"/>
            <w:hideMark/>
          </w:tcPr>
          <w:p w:rsidR="00C26341" w:rsidRPr="004B779A" w:rsidRDefault="00C26341" w:rsidP="00C26341">
            <w:pPr>
              <w:spacing w:after="0" w:line="240" w:lineRule="auto"/>
              <w:jc w:val="right"/>
              <w:rPr>
                <w:rFonts w:ascii="Arial" w:eastAsia="Times New Roman" w:hAnsi="Arial" w:cs="Arial"/>
                <w:lang w:eastAsia="en-GB"/>
              </w:rPr>
            </w:pPr>
            <w:r w:rsidRPr="004B779A">
              <w:rPr>
                <w:rFonts w:ascii="Arial" w:eastAsia="Times New Roman" w:hAnsi="Arial" w:cs="Arial"/>
                <w:lang w:eastAsia="en-GB"/>
              </w:rPr>
              <w:t>(47,500)</w:t>
            </w:r>
          </w:p>
        </w:tc>
      </w:tr>
      <w:tr w:rsidR="004B779A" w:rsidRPr="004B779A" w:rsidTr="00502227">
        <w:trPr>
          <w:trHeight w:val="225"/>
        </w:trPr>
        <w:tc>
          <w:tcPr>
            <w:tcW w:w="2425" w:type="dxa"/>
            <w:tcBorders>
              <w:top w:val="single" w:sz="8" w:space="0" w:color="959595"/>
              <w:left w:val="single" w:sz="4" w:space="0" w:color="000000"/>
              <w:bottom w:val="single" w:sz="4" w:space="0" w:color="000000"/>
              <w:right w:val="single" w:sz="4" w:space="0" w:color="000000"/>
            </w:tcBorders>
            <w:shd w:val="clear" w:color="000000" w:fill="FFFFFF"/>
            <w:hideMark/>
          </w:tcPr>
          <w:p w:rsidR="00C26341" w:rsidRPr="004B779A" w:rsidRDefault="00C26341" w:rsidP="00C26341">
            <w:pPr>
              <w:spacing w:after="0" w:line="240" w:lineRule="auto"/>
              <w:rPr>
                <w:rFonts w:ascii="Arial" w:eastAsia="Times New Roman" w:hAnsi="Arial" w:cs="Arial"/>
                <w:b/>
                <w:bCs/>
                <w:lang w:eastAsia="en-GB"/>
              </w:rPr>
            </w:pPr>
            <w:r w:rsidRPr="004B779A">
              <w:rPr>
                <w:rFonts w:ascii="Arial" w:eastAsia="Times New Roman" w:hAnsi="Arial" w:cs="Arial"/>
                <w:b/>
                <w:bCs/>
                <w:lang w:eastAsia="en-GB"/>
              </w:rPr>
              <w:t>Grand Total</w:t>
            </w:r>
          </w:p>
        </w:tc>
        <w:tc>
          <w:tcPr>
            <w:tcW w:w="4769" w:type="dxa"/>
            <w:tcBorders>
              <w:top w:val="single" w:sz="8" w:space="0" w:color="959595"/>
              <w:left w:val="single" w:sz="8" w:space="0" w:color="959595"/>
              <w:bottom w:val="single" w:sz="4" w:space="0" w:color="000000"/>
              <w:right w:val="single" w:sz="8" w:space="0" w:color="959595"/>
            </w:tcBorders>
            <w:shd w:val="clear" w:color="000000" w:fill="FFFFFF"/>
            <w:hideMark/>
          </w:tcPr>
          <w:p w:rsidR="00C26341" w:rsidRPr="004B779A" w:rsidRDefault="00C26341" w:rsidP="00C26341">
            <w:pPr>
              <w:spacing w:after="0" w:line="240" w:lineRule="auto"/>
              <w:rPr>
                <w:rFonts w:ascii="Arial" w:eastAsia="Times New Roman" w:hAnsi="Arial" w:cs="Arial"/>
                <w:b/>
                <w:bCs/>
                <w:lang w:eastAsia="en-GB"/>
              </w:rPr>
            </w:pPr>
            <w:r w:rsidRPr="004B779A">
              <w:rPr>
                <w:rFonts w:ascii="Arial" w:eastAsia="Times New Roman" w:hAnsi="Arial" w:cs="Arial"/>
                <w:b/>
                <w:bCs/>
                <w:lang w:eastAsia="en-GB"/>
              </w:rPr>
              <w:t> </w:t>
            </w:r>
          </w:p>
        </w:tc>
        <w:tc>
          <w:tcPr>
            <w:tcW w:w="1043" w:type="dxa"/>
            <w:tcBorders>
              <w:top w:val="single" w:sz="8" w:space="0" w:color="959595"/>
              <w:left w:val="single" w:sz="8" w:space="0" w:color="959595"/>
              <w:bottom w:val="single" w:sz="4" w:space="0" w:color="000000"/>
              <w:right w:val="single" w:sz="4" w:space="0" w:color="000000"/>
            </w:tcBorders>
            <w:shd w:val="clear" w:color="000000" w:fill="FFFFFF"/>
            <w:hideMark/>
          </w:tcPr>
          <w:p w:rsidR="00C26341" w:rsidRPr="004B779A" w:rsidRDefault="00C26341" w:rsidP="00C26341">
            <w:pPr>
              <w:spacing w:after="0" w:line="240" w:lineRule="auto"/>
              <w:jc w:val="right"/>
              <w:rPr>
                <w:rFonts w:ascii="Arial" w:eastAsia="Times New Roman" w:hAnsi="Arial" w:cs="Arial"/>
                <w:b/>
                <w:bCs/>
                <w:lang w:eastAsia="en-GB"/>
              </w:rPr>
            </w:pPr>
            <w:r w:rsidRPr="004B779A">
              <w:rPr>
                <w:rFonts w:ascii="Arial" w:eastAsia="Times New Roman" w:hAnsi="Arial" w:cs="Arial"/>
                <w:b/>
                <w:bCs/>
                <w:lang w:eastAsia="en-GB"/>
              </w:rPr>
              <w:t xml:space="preserve">65,504 </w:t>
            </w:r>
          </w:p>
        </w:tc>
        <w:tc>
          <w:tcPr>
            <w:tcW w:w="992" w:type="dxa"/>
            <w:tcBorders>
              <w:top w:val="single" w:sz="8" w:space="0" w:color="959595"/>
              <w:left w:val="single" w:sz="8" w:space="0" w:color="959595"/>
              <w:bottom w:val="single" w:sz="4" w:space="0" w:color="000000"/>
              <w:right w:val="single" w:sz="4" w:space="0" w:color="000000"/>
            </w:tcBorders>
            <w:shd w:val="clear" w:color="000000" w:fill="FFFFFF"/>
            <w:hideMark/>
          </w:tcPr>
          <w:p w:rsidR="00C26341" w:rsidRPr="004B779A" w:rsidRDefault="00C26341" w:rsidP="00C26341">
            <w:pPr>
              <w:spacing w:after="0" w:line="240" w:lineRule="auto"/>
              <w:jc w:val="right"/>
              <w:rPr>
                <w:rFonts w:ascii="Arial" w:eastAsia="Times New Roman" w:hAnsi="Arial" w:cs="Arial"/>
                <w:b/>
                <w:bCs/>
                <w:lang w:eastAsia="en-GB"/>
              </w:rPr>
            </w:pPr>
            <w:r w:rsidRPr="004B779A">
              <w:rPr>
                <w:rFonts w:ascii="Arial" w:eastAsia="Times New Roman" w:hAnsi="Arial" w:cs="Arial"/>
                <w:b/>
                <w:bCs/>
                <w:lang w:eastAsia="en-GB"/>
              </w:rPr>
              <w:t>(58,296)</w:t>
            </w:r>
          </w:p>
        </w:tc>
      </w:tr>
    </w:tbl>
    <w:p w:rsidR="00C26341" w:rsidRPr="004B779A" w:rsidRDefault="00C26341" w:rsidP="00E020EA">
      <w:pPr>
        <w:ind w:left="-567"/>
        <w:rPr>
          <w:rFonts w:ascii="Arial" w:hAnsi="Arial" w:cs="Arial"/>
          <w:b/>
        </w:rPr>
      </w:pPr>
      <w:r w:rsidRPr="004B779A">
        <w:rPr>
          <w:rFonts w:ascii="Arial" w:hAnsi="Arial" w:cs="Arial"/>
          <w:b/>
          <w:sz w:val="24"/>
          <w:szCs w:val="24"/>
        </w:rPr>
        <w:br w:type="textWrapping" w:clear="all"/>
      </w:r>
    </w:p>
    <w:p w:rsidR="00847DDF" w:rsidRDefault="00847DDF">
      <w:pPr>
        <w:rPr>
          <w:rFonts w:ascii="Arial" w:hAnsi="Arial" w:cs="Arial"/>
          <w:b/>
          <w:sz w:val="28"/>
          <w:szCs w:val="28"/>
        </w:rPr>
      </w:pPr>
      <w:r>
        <w:rPr>
          <w:rFonts w:ascii="Arial" w:hAnsi="Arial" w:cs="Arial"/>
          <w:b/>
          <w:sz w:val="28"/>
          <w:szCs w:val="28"/>
        </w:rPr>
        <w:br w:type="page"/>
      </w:r>
    </w:p>
    <w:p w:rsidR="006231AE" w:rsidRPr="00035C86" w:rsidRDefault="0004614E" w:rsidP="009B209E">
      <w:pPr>
        <w:rPr>
          <w:rFonts w:ascii="Arial" w:hAnsi="Arial" w:cs="Arial"/>
          <w:b/>
          <w:sz w:val="28"/>
          <w:szCs w:val="28"/>
        </w:rPr>
      </w:pPr>
      <w:r w:rsidRPr="00035C86">
        <w:rPr>
          <w:rFonts w:ascii="Arial" w:hAnsi="Arial" w:cs="Arial"/>
          <w:b/>
          <w:sz w:val="28"/>
          <w:szCs w:val="28"/>
        </w:rPr>
        <w:lastRenderedPageBreak/>
        <w:t>WHAT WE ACHIEVED AS A BOARD IN 2017/18</w:t>
      </w:r>
    </w:p>
    <w:tbl>
      <w:tblPr>
        <w:tblStyle w:val="TableGrid"/>
        <w:tblW w:w="9242" w:type="dxa"/>
        <w:tblLook w:val="04A0" w:firstRow="1" w:lastRow="0" w:firstColumn="1" w:lastColumn="0" w:noHBand="0" w:noVBand="1"/>
      </w:tblPr>
      <w:tblGrid>
        <w:gridCol w:w="3369"/>
        <w:gridCol w:w="5873"/>
      </w:tblGrid>
      <w:tr w:rsidR="00713941" w:rsidRPr="00847DDF" w:rsidTr="009340AA">
        <w:trPr>
          <w:trHeight w:val="352"/>
        </w:trPr>
        <w:tc>
          <w:tcPr>
            <w:tcW w:w="9242" w:type="dxa"/>
            <w:gridSpan w:val="2"/>
            <w:shd w:val="clear" w:color="auto" w:fill="92D050"/>
          </w:tcPr>
          <w:p w:rsidR="00713941" w:rsidRPr="00847DDF" w:rsidRDefault="00713941" w:rsidP="00CC52E7">
            <w:pPr>
              <w:spacing w:before="100" w:beforeAutospacing="1" w:after="100" w:afterAutospacing="1"/>
              <w:jc w:val="both"/>
              <w:rPr>
                <w:rFonts w:ascii="Arial" w:eastAsia="Times New Roman" w:hAnsi="Arial" w:cs="Arial"/>
                <w:b/>
                <w:color w:val="FFFFFF" w:themeColor="background1"/>
                <w:lang w:val="en" w:eastAsia="en-GB"/>
              </w:rPr>
            </w:pPr>
            <w:r w:rsidRPr="00847DDF">
              <w:rPr>
                <w:rFonts w:ascii="Arial" w:eastAsia="Times New Roman" w:hAnsi="Arial" w:cs="Arial"/>
                <w:b/>
                <w:color w:val="FFFFFF" w:themeColor="background1"/>
                <w:lang w:val="en" w:eastAsia="en-GB"/>
              </w:rPr>
              <w:t>Strategic Objective 1:</w:t>
            </w:r>
          </w:p>
        </w:tc>
      </w:tr>
      <w:tr w:rsidR="00713941" w:rsidRPr="003B59D7" w:rsidTr="00760141">
        <w:trPr>
          <w:trHeight w:val="557"/>
        </w:trPr>
        <w:tc>
          <w:tcPr>
            <w:tcW w:w="3369" w:type="dxa"/>
          </w:tcPr>
          <w:p w:rsidR="00713941" w:rsidRPr="00847DDF" w:rsidRDefault="00713941" w:rsidP="00CC52E7">
            <w:pPr>
              <w:spacing w:before="100" w:beforeAutospacing="1" w:after="100" w:afterAutospacing="1"/>
              <w:jc w:val="both"/>
              <w:rPr>
                <w:rFonts w:ascii="Arial" w:eastAsia="Times New Roman" w:hAnsi="Arial" w:cs="Arial"/>
                <w:lang w:val="en" w:eastAsia="en-GB"/>
              </w:rPr>
            </w:pPr>
            <w:r w:rsidRPr="00847DDF">
              <w:rPr>
                <w:rFonts w:ascii="Arial" w:hAnsi="Arial" w:cs="Arial"/>
                <w:b/>
              </w:rPr>
              <w:t>By 31</w:t>
            </w:r>
            <w:r w:rsidRPr="00847DDF">
              <w:rPr>
                <w:rFonts w:ascii="Arial" w:hAnsi="Arial" w:cs="Arial"/>
                <w:b/>
                <w:vertAlign w:val="superscript"/>
              </w:rPr>
              <w:t>st</w:t>
            </w:r>
            <w:r w:rsidRPr="00847DDF">
              <w:rPr>
                <w:rFonts w:ascii="Arial" w:hAnsi="Arial" w:cs="Arial"/>
                <w:b/>
              </w:rPr>
              <w:t xml:space="preserve"> March 2019 this Board will have published a Communication Strategy and two related local actions plans for Communication and Awareness Raising with particular emphasis on providers, carers, families and individuals and communities at risk.  </w:t>
            </w:r>
          </w:p>
        </w:tc>
        <w:tc>
          <w:tcPr>
            <w:tcW w:w="5873" w:type="dxa"/>
          </w:tcPr>
          <w:p w:rsidR="00713941" w:rsidRPr="00847DDF" w:rsidRDefault="00713941" w:rsidP="00713941">
            <w:pPr>
              <w:shd w:val="clear" w:color="auto" w:fill="FFFFFF" w:themeFill="background1"/>
              <w:jc w:val="both"/>
              <w:rPr>
                <w:rFonts w:ascii="Arial" w:hAnsi="Arial" w:cs="Arial"/>
              </w:rPr>
            </w:pPr>
            <w:r w:rsidRPr="00847DDF">
              <w:rPr>
                <w:rFonts w:ascii="Arial" w:hAnsi="Arial" w:cs="Arial"/>
              </w:rPr>
              <w:t xml:space="preserve">During 2017/18 the board developed an action plan setting out the actions it will take to raise awareness and improve stakeholder engagement; implementation has begun and is on-going. The board has created and launched a stand-alone website which is a multiagency central resource hub for all matters relating to adult safeguarding and can be found at </w:t>
            </w:r>
            <w:hyperlink r:id="rId14" w:history="1">
              <w:r w:rsidRPr="00847DDF">
                <w:rPr>
                  <w:rStyle w:val="Hyperlink"/>
                  <w:rFonts w:ascii="Arial" w:hAnsi="Arial" w:cs="Arial"/>
                  <w:color w:val="auto"/>
                </w:rPr>
                <w:t>www.thurrocksab.org.uk</w:t>
              </w:r>
            </w:hyperlink>
            <w:r w:rsidRPr="00847DDF">
              <w:rPr>
                <w:rFonts w:ascii="Arial" w:hAnsi="Arial" w:cs="Arial"/>
              </w:rPr>
              <w:t>.</w:t>
            </w:r>
          </w:p>
          <w:p w:rsidR="00713941" w:rsidRPr="00847DDF" w:rsidRDefault="00713941" w:rsidP="00713941">
            <w:pPr>
              <w:shd w:val="clear" w:color="auto" w:fill="FFFFFF" w:themeFill="background1"/>
              <w:jc w:val="both"/>
              <w:rPr>
                <w:rFonts w:ascii="Arial" w:hAnsi="Arial" w:cs="Arial"/>
              </w:rPr>
            </w:pPr>
            <w:r w:rsidRPr="00847DDF">
              <w:rPr>
                <w:rFonts w:ascii="Arial" w:hAnsi="Arial" w:cs="Arial"/>
              </w:rPr>
              <w:t>During 2018/19 the board will develop and roll-out the hard copy and social media based campaign, initially, the top three cause of concerns will be targeted, namely financial and physical abuse and neglect/acts of omission; posters to raise and maintain awareness amongst professionals and improve communication with Providers.</w:t>
            </w:r>
          </w:p>
        </w:tc>
      </w:tr>
      <w:tr w:rsidR="00713941" w:rsidRPr="003B59D7" w:rsidTr="009340AA">
        <w:trPr>
          <w:trHeight w:val="373"/>
        </w:trPr>
        <w:tc>
          <w:tcPr>
            <w:tcW w:w="9242" w:type="dxa"/>
            <w:gridSpan w:val="2"/>
            <w:shd w:val="clear" w:color="auto" w:fill="92D050"/>
          </w:tcPr>
          <w:p w:rsidR="00713941" w:rsidRPr="00847DDF" w:rsidRDefault="00713941" w:rsidP="00CC52E7">
            <w:pPr>
              <w:spacing w:before="100" w:beforeAutospacing="1" w:after="100" w:afterAutospacing="1"/>
              <w:jc w:val="both"/>
              <w:rPr>
                <w:rFonts w:ascii="Arial" w:eastAsia="Times New Roman" w:hAnsi="Arial" w:cs="Arial"/>
                <w:b/>
                <w:color w:val="FFFFFF" w:themeColor="background1"/>
                <w:lang w:val="en" w:eastAsia="en-GB"/>
              </w:rPr>
            </w:pPr>
            <w:r w:rsidRPr="00847DDF">
              <w:rPr>
                <w:rFonts w:ascii="Arial" w:eastAsia="Times New Roman" w:hAnsi="Arial" w:cs="Arial"/>
                <w:b/>
                <w:color w:val="FFFFFF" w:themeColor="background1"/>
                <w:lang w:val="en" w:eastAsia="en-GB"/>
              </w:rPr>
              <w:t>Strategic Objective 2:</w:t>
            </w:r>
          </w:p>
        </w:tc>
      </w:tr>
      <w:tr w:rsidR="00713941" w:rsidRPr="003B59D7" w:rsidTr="00760141">
        <w:trPr>
          <w:trHeight w:val="1656"/>
        </w:trPr>
        <w:tc>
          <w:tcPr>
            <w:tcW w:w="3369" w:type="dxa"/>
          </w:tcPr>
          <w:p w:rsidR="00713941" w:rsidRPr="00847DDF" w:rsidRDefault="00713941" w:rsidP="00CC52E7">
            <w:pPr>
              <w:spacing w:before="100" w:beforeAutospacing="1" w:after="100" w:afterAutospacing="1"/>
              <w:jc w:val="both"/>
              <w:rPr>
                <w:rFonts w:ascii="Arial" w:eastAsia="Times New Roman" w:hAnsi="Arial" w:cs="Arial"/>
                <w:lang w:val="en" w:eastAsia="en-GB"/>
              </w:rPr>
            </w:pPr>
            <w:r w:rsidRPr="00847DDF">
              <w:rPr>
                <w:rFonts w:ascii="Arial" w:hAnsi="Arial" w:cs="Arial"/>
                <w:b/>
              </w:rPr>
              <w:t>By 31</w:t>
            </w:r>
            <w:r w:rsidRPr="00847DDF">
              <w:rPr>
                <w:rFonts w:ascii="Arial" w:hAnsi="Arial" w:cs="Arial"/>
                <w:b/>
                <w:vertAlign w:val="superscript"/>
              </w:rPr>
              <w:t>st</w:t>
            </w:r>
            <w:r w:rsidRPr="00847DDF">
              <w:rPr>
                <w:rFonts w:ascii="Arial" w:hAnsi="Arial" w:cs="Arial"/>
                <w:b/>
              </w:rPr>
              <w:t xml:space="preserve"> March 2019 this Board will have produced its strategy and associated action plan for the Prevention of Harm and Abuse to Adults at Risk.</w:t>
            </w:r>
          </w:p>
        </w:tc>
        <w:tc>
          <w:tcPr>
            <w:tcW w:w="5873" w:type="dxa"/>
          </w:tcPr>
          <w:p w:rsidR="00713941" w:rsidRPr="00847DDF" w:rsidRDefault="00713941" w:rsidP="00713941">
            <w:pPr>
              <w:shd w:val="clear" w:color="auto" w:fill="FFFFFF" w:themeFill="background1"/>
              <w:jc w:val="both"/>
              <w:rPr>
                <w:rFonts w:ascii="Arial" w:eastAsia="Times New Roman" w:hAnsi="Arial" w:cs="Arial"/>
                <w:lang w:val="en" w:eastAsia="en-GB"/>
              </w:rPr>
            </w:pPr>
            <w:r w:rsidRPr="00847DDF">
              <w:rPr>
                <w:rFonts w:ascii="Arial" w:hAnsi="Arial" w:cs="Arial"/>
              </w:rPr>
              <w:t>During 2017 the board hosted a multi-agency workshop to scope the parameters and objectives of an effective Prevention Strategy which led to the development of an action plan. The action plan will be delivered during 2018/19 to consolidate existing preventative initiatives and incorporate aspirations for future preventative schemes to increase community empowerment and reduce incidence of adult abuse and neglect.</w:t>
            </w:r>
          </w:p>
        </w:tc>
      </w:tr>
      <w:tr w:rsidR="00713941" w:rsidRPr="003B59D7" w:rsidTr="009340AA">
        <w:trPr>
          <w:trHeight w:val="459"/>
        </w:trPr>
        <w:tc>
          <w:tcPr>
            <w:tcW w:w="9242" w:type="dxa"/>
            <w:gridSpan w:val="2"/>
            <w:shd w:val="clear" w:color="auto" w:fill="92D050"/>
          </w:tcPr>
          <w:p w:rsidR="00713941" w:rsidRPr="00847DDF" w:rsidRDefault="00713941" w:rsidP="00CC52E7">
            <w:pPr>
              <w:spacing w:before="100" w:beforeAutospacing="1" w:after="100" w:afterAutospacing="1"/>
              <w:jc w:val="both"/>
              <w:rPr>
                <w:rFonts w:ascii="Arial" w:eastAsia="Times New Roman" w:hAnsi="Arial" w:cs="Arial"/>
                <w:b/>
                <w:color w:val="FFFFFF" w:themeColor="background1"/>
                <w:lang w:val="en" w:eastAsia="en-GB"/>
              </w:rPr>
            </w:pPr>
            <w:r w:rsidRPr="00847DDF">
              <w:rPr>
                <w:rFonts w:ascii="Arial" w:eastAsia="Times New Roman" w:hAnsi="Arial" w:cs="Arial"/>
                <w:b/>
                <w:color w:val="FFFFFF" w:themeColor="background1"/>
                <w:lang w:val="en" w:eastAsia="en-GB"/>
              </w:rPr>
              <w:t xml:space="preserve">Strategic </w:t>
            </w:r>
            <w:r w:rsidRPr="00847DDF">
              <w:rPr>
                <w:rFonts w:ascii="Arial" w:eastAsia="Times New Roman" w:hAnsi="Arial" w:cs="Arial"/>
                <w:b/>
                <w:color w:val="FFFFFF" w:themeColor="background1"/>
                <w:shd w:val="clear" w:color="auto" w:fill="00B050"/>
                <w:lang w:val="en" w:eastAsia="en-GB"/>
              </w:rPr>
              <w:t>Objective</w:t>
            </w:r>
            <w:r w:rsidRPr="00847DDF">
              <w:rPr>
                <w:rFonts w:ascii="Arial" w:eastAsia="Times New Roman" w:hAnsi="Arial" w:cs="Arial"/>
                <w:b/>
                <w:color w:val="FFFFFF" w:themeColor="background1"/>
                <w:lang w:val="en" w:eastAsia="en-GB"/>
              </w:rPr>
              <w:t xml:space="preserve"> 3:</w:t>
            </w:r>
          </w:p>
        </w:tc>
      </w:tr>
      <w:tr w:rsidR="00713941" w:rsidRPr="003B59D7" w:rsidTr="00760141">
        <w:trPr>
          <w:trHeight w:val="4528"/>
        </w:trPr>
        <w:tc>
          <w:tcPr>
            <w:tcW w:w="3369" w:type="dxa"/>
          </w:tcPr>
          <w:p w:rsidR="00713941" w:rsidRPr="00847DDF" w:rsidRDefault="00713941" w:rsidP="00713941">
            <w:pPr>
              <w:tabs>
                <w:tab w:val="left" w:pos="2325"/>
              </w:tabs>
              <w:rPr>
                <w:rFonts w:ascii="Arial" w:eastAsia="Times New Roman" w:hAnsi="Arial" w:cs="Arial"/>
                <w:lang w:val="en" w:eastAsia="en-GB"/>
              </w:rPr>
            </w:pPr>
            <w:r w:rsidRPr="00847DDF">
              <w:rPr>
                <w:rFonts w:ascii="Arial" w:hAnsi="Arial" w:cs="Arial"/>
                <w:b/>
                <w:bCs/>
              </w:rPr>
              <w:t>By 31</w:t>
            </w:r>
            <w:r w:rsidRPr="00847DDF">
              <w:rPr>
                <w:rFonts w:ascii="Arial" w:hAnsi="Arial" w:cs="Arial"/>
                <w:b/>
                <w:bCs/>
                <w:vertAlign w:val="superscript"/>
              </w:rPr>
              <w:t>st</w:t>
            </w:r>
            <w:r w:rsidRPr="00847DDF">
              <w:rPr>
                <w:rFonts w:ascii="Arial" w:hAnsi="Arial" w:cs="Arial"/>
                <w:b/>
                <w:bCs/>
              </w:rPr>
              <w:t xml:space="preserve"> March 2018 this Board will have worked with SET partners to consider and publish good practice in dealing with domestic abuse in older people and care settings.</w:t>
            </w:r>
          </w:p>
        </w:tc>
        <w:tc>
          <w:tcPr>
            <w:tcW w:w="5873" w:type="dxa"/>
          </w:tcPr>
          <w:p w:rsidR="00713941" w:rsidRPr="00847DDF" w:rsidRDefault="00713941" w:rsidP="00713941">
            <w:pPr>
              <w:rPr>
                <w:rFonts w:ascii="Arial" w:hAnsi="Arial" w:cs="Arial"/>
              </w:rPr>
            </w:pPr>
            <w:r w:rsidRPr="00847DDF">
              <w:rPr>
                <w:rFonts w:ascii="Arial" w:hAnsi="Arial" w:cs="Arial"/>
              </w:rPr>
              <w:t xml:space="preserve"> The TSAB had benefited from the work developed by the Southend, Essex and Thurrock Domestic Abuse Board, the board has supported the 50+ Domestic Abuse media campaign, disseminated learning from the Safe Later Lives report and encouraged use of the Working with older people who experience domestic abuse toolkit. </w:t>
            </w:r>
          </w:p>
          <w:p w:rsidR="00713941" w:rsidRPr="00847DDF" w:rsidRDefault="00713941" w:rsidP="00713941">
            <w:pPr>
              <w:rPr>
                <w:rFonts w:ascii="Arial" w:hAnsi="Arial" w:cs="Arial"/>
              </w:rPr>
            </w:pPr>
            <w:r w:rsidRPr="00847DDF">
              <w:rPr>
                <w:rFonts w:ascii="Arial" w:hAnsi="Arial" w:cs="Arial"/>
              </w:rPr>
              <w:t xml:space="preserve">From findings within the reports </w:t>
            </w:r>
            <w:r w:rsidRPr="00847DDF">
              <w:rPr>
                <w:rFonts w:ascii="Arial" w:hAnsi="Arial" w:cs="Arial"/>
                <w:i/>
              </w:rPr>
              <w:t>Safe Later Lives (Safer Lives, 2017) and Adult Safeguarding and domestic abuse (</w:t>
            </w:r>
            <w:r w:rsidRPr="00847DDF">
              <w:rPr>
                <w:rFonts w:ascii="Arial" w:hAnsi="Arial" w:cs="Arial"/>
              </w:rPr>
              <w:t xml:space="preserve">LGA, ADASS, 2017) it is clear that many adults require safeguarding because they are victims of domestic abuse. The board recognises that there is further work to be done locally to make better connections between adult safeguarding and domestic violence, ensuring the recognition of domestic abuse within safeguarding is essential to being able to offer appropriate intervention and reduce risk. </w:t>
            </w:r>
          </w:p>
          <w:p w:rsidR="00713941" w:rsidRPr="00847DDF" w:rsidRDefault="00713941" w:rsidP="00713941">
            <w:pPr>
              <w:rPr>
                <w:rFonts w:ascii="Arial" w:eastAsia="Times New Roman" w:hAnsi="Arial" w:cs="Arial"/>
                <w:lang w:val="en" w:eastAsia="en-GB"/>
              </w:rPr>
            </w:pPr>
            <w:r w:rsidRPr="00847DDF">
              <w:rPr>
                <w:rFonts w:ascii="Arial" w:hAnsi="Arial" w:cs="Arial"/>
              </w:rPr>
              <w:t>During 2018/19 the board will explore training opportunities to improve recognition, will develop a strand of its communications campaign to target domestic violence and will embed use of the toolkit for working with older victims of domestic violence and domestic abuse.</w:t>
            </w:r>
          </w:p>
        </w:tc>
      </w:tr>
      <w:tr w:rsidR="00713941" w:rsidRPr="003B59D7" w:rsidTr="009340AA">
        <w:trPr>
          <w:trHeight w:val="397"/>
        </w:trPr>
        <w:tc>
          <w:tcPr>
            <w:tcW w:w="9242" w:type="dxa"/>
            <w:gridSpan w:val="2"/>
            <w:shd w:val="clear" w:color="auto" w:fill="92D050"/>
          </w:tcPr>
          <w:p w:rsidR="00713941" w:rsidRPr="00847DDF" w:rsidRDefault="00713941" w:rsidP="00CC52E7">
            <w:pPr>
              <w:spacing w:before="100" w:beforeAutospacing="1" w:after="100" w:afterAutospacing="1"/>
              <w:jc w:val="both"/>
              <w:rPr>
                <w:rFonts w:ascii="Arial" w:eastAsia="Times New Roman" w:hAnsi="Arial" w:cs="Arial"/>
                <w:b/>
                <w:color w:val="FFFFFF" w:themeColor="background1"/>
                <w:lang w:val="en" w:eastAsia="en-GB"/>
              </w:rPr>
            </w:pPr>
            <w:r w:rsidRPr="00847DDF">
              <w:rPr>
                <w:rFonts w:ascii="Arial" w:eastAsia="Times New Roman" w:hAnsi="Arial" w:cs="Arial"/>
                <w:b/>
                <w:color w:val="FFFFFF" w:themeColor="background1"/>
                <w:lang w:val="en" w:eastAsia="en-GB"/>
              </w:rPr>
              <w:t>Strategic Objective 4 and 5:</w:t>
            </w:r>
          </w:p>
        </w:tc>
      </w:tr>
      <w:tr w:rsidR="00713941" w:rsidRPr="003B59D7" w:rsidTr="00760141">
        <w:trPr>
          <w:trHeight w:val="1549"/>
        </w:trPr>
        <w:tc>
          <w:tcPr>
            <w:tcW w:w="3369" w:type="dxa"/>
          </w:tcPr>
          <w:p w:rsidR="00713941" w:rsidRPr="00847DDF" w:rsidRDefault="00713941" w:rsidP="00713941">
            <w:pPr>
              <w:shd w:val="clear" w:color="auto" w:fill="FFFFFF" w:themeFill="background1"/>
              <w:jc w:val="both"/>
              <w:rPr>
                <w:rFonts w:ascii="Arial" w:hAnsi="Arial" w:cs="Arial"/>
                <w:b/>
                <w:bCs/>
              </w:rPr>
            </w:pPr>
            <w:r w:rsidRPr="00847DDF">
              <w:rPr>
                <w:rFonts w:ascii="Arial" w:hAnsi="Arial" w:cs="Arial"/>
                <w:b/>
                <w:bCs/>
              </w:rPr>
              <w:lastRenderedPageBreak/>
              <w:t>By 31</w:t>
            </w:r>
            <w:r w:rsidRPr="00847DDF">
              <w:rPr>
                <w:rFonts w:ascii="Arial" w:hAnsi="Arial" w:cs="Arial"/>
                <w:b/>
                <w:bCs/>
                <w:vertAlign w:val="superscript"/>
              </w:rPr>
              <w:t>st</w:t>
            </w:r>
            <w:r w:rsidRPr="00847DDF">
              <w:rPr>
                <w:rFonts w:ascii="Arial" w:hAnsi="Arial" w:cs="Arial"/>
                <w:b/>
                <w:bCs/>
              </w:rPr>
              <w:t xml:space="preserve"> March 2020, this Board will have conducted a review of the level of sexual exploitation of adults in Thurrock and made recommendations for further action if appropriate.</w:t>
            </w:r>
          </w:p>
          <w:p w:rsidR="00713941" w:rsidRPr="00847DDF" w:rsidRDefault="00713941" w:rsidP="00713941">
            <w:pPr>
              <w:shd w:val="clear" w:color="auto" w:fill="FFFFFF" w:themeFill="background1"/>
              <w:jc w:val="both"/>
              <w:rPr>
                <w:rFonts w:ascii="Arial" w:hAnsi="Arial" w:cs="Arial"/>
                <w:b/>
                <w:bCs/>
              </w:rPr>
            </w:pPr>
          </w:p>
          <w:p w:rsidR="00713941" w:rsidRPr="00847DDF" w:rsidRDefault="00713941" w:rsidP="00713941">
            <w:pPr>
              <w:shd w:val="clear" w:color="auto" w:fill="FFFFFF" w:themeFill="background1"/>
              <w:jc w:val="both"/>
              <w:rPr>
                <w:rFonts w:ascii="Arial" w:eastAsia="Times New Roman" w:hAnsi="Arial" w:cs="Arial"/>
                <w:lang w:val="en" w:eastAsia="en-GB"/>
              </w:rPr>
            </w:pPr>
            <w:r w:rsidRPr="00847DDF">
              <w:rPr>
                <w:rFonts w:ascii="Arial" w:hAnsi="Arial" w:cs="Arial"/>
                <w:b/>
              </w:rPr>
              <w:t>By 31</w:t>
            </w:r>
            <w:r w:rsidRPr="00847DDF">
              <w:rPr>
                <w:rFonts w:ascii="Arial" w:hAnsi="Arial" w:cs="Arial"/>
                <w:b/>
                <w:vertAlign w:val="superscript"/>
              </w:rPr>
              <w:t>st</w:t>
            </w:r>
            <w:r w:rsidRPr="00847DDF">
              <w:rPr>
                <w:rFonts w:ascii="Arial" w:hAnsi="Arial" w:cs="Arial"/>
                <w:b/>
              </w:rPr>
              <w:t xml:space="preserve"> March 2020 this Board will have reviewed and made recommendations for change if appropriate regarding the safeguarding gaps for at risk young people in transition to adulthood. </w:t>
            </w:r>
          </w:p>
        </w:tc>
        <w:tc>
          <w:tcPr>
            <w:tcW w:w="5873" w:type="dxa"/>
          </w:tcPr>
          <w:p w:rsidR="00713941" w:rsidRPr="00847DDF" w:rsidRDefault="00713941" w:rsidP="00713941">
            <w:pPr>
              <w:rPr>
                <w:rFonts w:ascii="Arial" w:eastAsia="Times New Roman" w:hAnsi="Arial" w:cs="Arial"/>
                <w:lang w:val="en" w:eastAsia="en-GB"/>
              </w:rPr>
            </w:pPr>
            <w:r w:rsidRPr="00847DDF">
              <w:rPr>
                <w:rFonts w:ascii="Arial" w:hAnsi="Arial" w:cs="Arial"/>
              </w:rPr>
              <w:t>During 2017/18 the board hosted a multi-agency workshop, attended by the Community Safety Partnership and Children’s Services, from this a Sexual Exploitation task and finish group was created and an action plan developed. There are challenges that have slowed down the progress, despite this there is great momentum and aspiration from partners to deliver during 2018/19 an effective multi agency strategy, toolkit and pathway influenced by the outcome of specialist voluntary organisation victim engagement. To support implementation of the strategy the board will also explore training and con</w:t>
            </w:r>
            <w:bookmarkStart w:id="0" w:name="_GoBack"/>
            <w:bookmarkEnd w:id="0"/>
            <w:r w:rsidRPr="00847DDF">
              <w:rPr>
                <w:rFonts w:ascii="Arial" w:hAnsi="Arial" w:cs="Arial"/>
              </w:rPr>
              <w:t>tinued.</w:t>
            </w:r>
          </w:p>
        </w:tc>
      </w:tr>
    </w:tbl>
    <w:p w:rsidR="00713941" w:rsidRPr="00847DDF" w:rsidRDefault="00713941" w:rsidP="009B209E">
      <w:pPr>
        <w:rPr>
          <w:rFonts w:ascii="Arial" w:hAnsi="Arial" w:cs="Arial"/>
          <w:b/>
        </w:rPr>
      </w:pPr>
    </w:p>
    <w:p w:rsidR="0004614E" w:rsidRPr="00847DDF" w:rsidRDefault="0004614E" w:rsidP="0004614E">
      <w:pPr>
        <w:jc w:val="both"/>
        <w:rPr>
          <w:rFonts w:ascii="Arial" w:hAnsi="Arial" w:cs="Arial"/>
          <w:b/>
        </w:rPr>
      </w:pPr>
      <w:r w:rsidRPr="00847DDF">
        <w:rPr>
          <w:rFonts w:ascii="Arial" w:hAnsi="Arial" w:cs="Arial"/>
          <w:b/>
        </w:rPr>
        <w:t>Residential Provider visits</w:t>
      </w:r>
    </w:p>
    <w:p w:rsidR="0004614E" w:rsidRPr="00847DDF" w:rsidRDefault="0004614E" w:rsidP="0004614E">
      <w:pPr>
        <w:jc w:val="both"/>
        <w:rPr>
          <w:rFonts w:ascii="Arial" w:hAnsi="Arial" w:cs="Arial"/>
          <w:b/>
        </w:rPr>
      </w:pPr>
      <w:r w:rsidRPr="00847DDF">
        <w:rPr>
          <w:rFonts w:ascii="Arial" w:hAnsi="Arial" w:cs="Arial"/>
        </w:rPr>
        <w:t>Safeguarding Adult Board members undertook visits to all residenti</w:t>
      </w:r>
      <w:r w:rsidR="00713941" w:rsidRPr="00847DDF">
        <w:rPr>
          <w:rFonts w:ascii="Arial" w:hAnsi="Arial" w:cs="Arial"/>
        </w:rPr>
        <w:t>al establishments in Thurrock during</w:t>
      </w:r>
      <w:r w:rsidRPr="00847DDF">
        <w:rPr>
          <w:rFonts w:ascii="Arial" w:hAnsi="Arial" w:cs="Arial"/>
        </w:rPr>
        <w:t xml:space="preserve"> September 2018.  This was to ensure that we were confident that good care and support is provided for our most vulnerable residents in Thurrock. The visits were not inspections or formal auditing of any kind, but more a check to see what the home felt like, and would members of the Board be happy to have one of their family members staying there. The </w:t>
      </w:r>
      <w:r w:rsidR="001C58B2" w:rsidRPr="00847DDF">
        <w:rPr>
          <w:rFonts w:ascii="Arial" w:hAnsi="Arial" w:cs="Arial"/>
        </w:rPr>
        <w:t>outcome of the visits was</w:t>
      </w:r>
      <w:r w:rsidRPr="00847DDF">
        <w:rPr>
          <w:rFonts w:ascii="Arial" w:hAnsi="Arial" w:cs="Arial"/>
        </w:rPr>
        <w:t xml:space="preserve"> very positive. There were no safeguarding concerns raised during the visits, with the majority of provision reported to be providing very good care.  </w:t>
      </w:r>
    </w:p>
    <w:p w:rsidR="0004614E" w:rsidRPr="00847DDF" w:rsidRDefault="0004614E" w:rsidP="0004614E">
      <w:pPr>
        <w:jc w:val="both"/>
        <w:rPr>
          <w:rFonts w:ascii="Arial" w:hAnsi="Arial" w:cs="Arial"/>
          <w:b/>
        </w:rPr>
      </w:pPr>
      <w:r w:rsidRPr="00847DDF">
        <w:rPr>
          <w:rFonts w:ascii="Arial" w:hAnsi="Arial" w:cs="Arial"/>
          <w:b/>
        </w:rPr>
        <w:t xml:space="preserve">Hoarding and Self-Neglect Panel </w:t>
      </w:r>
    </w:p>
    <w:p w:rsidR="0004614E" w:rsidRPr="00847DDF" w:rsidRDefault="0004614E" w:rsidP="0004614E">
      <w:pPr>
        <w:jc w:val="both"/>
        <w:rPr>
          <w:rFonts w:ascii="Arial" w:hAnsi="Arial" w:cs="Arial"/>
        </w:rPr>
      </w:pPr>
      <w:r w:rsidRPr="00847DDF">
        <w:rPr>
          <w:rFonts w:ascii="Arial" w:hAnsi="Arial" w:cs="Arial"/>
        </w:rPr>
        <w:t xml:space="preserve">After carrying out a local review in light of the ‘Carol’ Safeguarding Adult Review published by </w:t>
      </w:r>
      <w:proofErr w:type="spellStart"/>
      <w:r w:rsidRPr="00847DDF">
        <w:rPr>
          <w:rFonts w:ascii="Arial" w:hAnsi="Arial" w:cs="Arial"/>
        </w:rPr>
        <w:t>Teeswide</w:t>
      </w:r>
      <w:proofErr w:type="spellEnd"/>
      <w:r w:rsidRPr="00847DDF">
        <w:rPr>
          <w:rFonts w:ascii="Arial" w:hAnsi="Arial" w:cs="Arial"/>
        </w:rPr>
        <w:t xml:space="preserve"> SAB, the Safeguarding Board supported Thurrock Council in setting up a Hoarding and Self-Neglect Panel.  This Panel is made up of all relevant agencies and chaired by the Principal Social Worker. Agencies can refer any case for discussion where risks are high, and options to intervene positively have been exhausted.  The aim of the Panel is to provide a safety net around these individuals with a multi-agency approach to reduce the risk of them </w:t>
      </w:r>
      <w:r w:rsidR="00EA06AB" w:rsidRPr="00847DDF">
        <w:rPr>
          <w:rFonts w:ascii="Arial" w:hAnsi="Arial" w:cs="Arial"/>
        </w:rPr>
        <w:t>coming to harm.</w:t>
      </w:r>
      <w:r w:rsidRPr="00847DDF">
        <w:rPr>
          <w:rFonts w:ascii="Arial" w:hAnsi="Arial" w:cs="Arial"/>
        </w:rPr>
        <w:t xml:space="preserve"> </w:t>
      </w:r>
    </w:p>
    <w:p w:rsidR="00B4096C" w:rsidRPr="00847DDF" w:rsidRDefault="00B4096C" w:rsidP="0004614E">
      <w:pPr>
        <w:jc w:val="both"/>
        <w:rPr>
          <w:rFonts w:ascii="Arial" w:hAnsi="Arial" w:cs="Arial"/>
          <w:b/>
        </w:rPr>
      </w:pPr>
      <w:r w:rsidRPr="00847DDF">
        <w:rPr>
          <w:rFonts w:ascii="Arial" w:hAnsi="Arial" w:cs="Arial"/>
          <w:b/>
        </w:rPr>
        <w:t>Lasting Power of Attorney</w:t>
      </w:r>
      <w:r w:rsidR="007D1F72" w:rsidRPr="00847DDF">
        <w:rPr>
          <w:rFonts w:ascii="Arial" w:hAnsi="Arial" w:cs="Arial"/>
          <w:b/>
        </w:rPr>
        <w:t xml:space="preserve"> (LPA) Champions</w:t>
      </w:r>
      <w:r w:rsidRPr="00847DDF">
        <w:rPr>
          <w:rFonts w:ascii="Arial" w:hAnsi="Arial" w:cs="Arial"/>
          <w:b/>
        </w:rPr>
        <w:t xml:space="preserve"> </w:t>
      </w:r>
      <w:r w:rsidR="007D1F72" w:rsidRPr="00847DDF">
        <w:rPr>
          <w:rFonts w:ascii="Arial" w:hAnsi="Arial" w:cs="Arial"/>
          <w:b/>
        </w:rPr>
        <w:t>P</w:t>
      </w:r>
      <w:r w:rsidRPr="00847DDF">
        <w:rPr>
          <w:rFonts w:ascii="Arial" w:hAnsi="Arial" w:cs="Arial"/>
          <w:b/>
        </w:rPr>
        <w:t>roject</w:t>
      </w:r>
    </w:p>
    <w:p w:rsidR="007D1F72" w:rsidRPr="00847DDF" w:rsidRDefault="007D1F72" w:rsidP="0004614E">
      <w:pPr>
        <w:jc w:val="both"/>
        <w:rPr>
          <w:rFonts w:ascii="Arial" w:hAnsi="Arial" w:cs="Arial"/>
        </w:rPr>
      </w:pPr>
      <w:r w:rsidRPr="00847DDF">
        <w:rPr>
          <w:rFonts w:ascii="Arial" w:hAnsi="Arial" w:cs="Arial"/>
        </w:rPr>
        <w:t>TSAB funded Thurrock Centre for Independent Living to provide a service that supported or assisted Thurrock residents with the completion of a 169 LPA applications</w:t>
      </w:r>
      <w:r w:rsidR="00925011" w:rsidRPr="00847DDF">
        <w:rPr>
          <w:rFonts w:ascii="Arial" w:hAnsi="Arial" w:cs="Arial"/>
        </w:rPr>
        <w:t xml:space="preserve"> (including</w:t>
      </w:r>
      <w:r w:rsidRPr="00847DDF">
        <w:rPr>
          <w:rFonts w:ascii="Arial" w:hAnsi="Arial" w:cs="Arial"/>
        </w:rPr>
        <w:t xml:space="preserve"> all applications, alterations and amendments). There have been 68 applications for LPAs for individuals and 18 applications made by couples in 2017, saving residents of Thurrock an estimated £227,800.</w:t>
      </w:r>
    </w:p>
    <w:p w:rsidR="00717FCE" w:rsidRPr="00847DDF" w:rsidRDefault="00717FCE" w:rsidP="0004614E">
      <w:pPr>
        <w:jc w:val="both"/>
        <w:rPr>
          <w:rFonts w:ascii="Arial" w:hAnsi="Arial" w:cs="Arial"/>
          <w:b/>
        </w:rPr>
      </w:pPr>
      <w:r w:rsidRPr="00847DDF">
        <w:rPr>
          <w:rFonts w:ascii="Arial" w:hAnsi="Arial" w:cs="Arial"/>
          <w:b/>
        </w:rPr>
        <w:t>Stay Safe Project</w:t>
      </w:r>
    </w:p>
    <w:p w:rsidR="00717FCE" w:rsidRPr="00847DDF" w:rsidRDefault="007E599C" w:rsidP="0004614E">
      <w:pPr>
        <w:jc w:val="both"/>
        <w:rPr>
          <w:rFonts w:ascii="Arial" w:hAnsi="Arial" w:cs="Arial"/>
        </w:rPr>
      </w:pPr>
      <w:r w:rsidRPr="00847DDF">
        <w:rPr>
          <w:rFonts w:ascii="Arial" w:hAnsi="Arial" w:cs="Arial"/>
        </w:rPr>
        <w:t xml:space="preserve">Stay safe is a long running programme, run at least once a year to support approx. Adults with a Learning Disability  have the opportunity to attend a one-day event involving training and support from the Police, Fire-Brigade, First Aiders, Trading Standards and other Community Safety partners. It addresses everything from keeping strangers out of your </w:t>
      </w:r>
      <w:r w:rsidRPr="00847DDF">
        <w:rPr>
          <w:rFonts w:ascii="Arial" w:hAnsi="Arial" w:cs="Arial"/>
        </w:rPr>
        <w:lastRenderedPageBreak/>
        <w:t xml:space="preserve">house, basic first aid to money lenders and Cuckooing. It is funded by Thurrock’s Community safety </w:t>
      </w:r>
      <w:proofErr w:type="gramStart"/>
      <w:r w:rsidRPr="00847DDF">
        <w:rPr>
          <w:rFonts w:ascii="Arial" w:hAnsi="Arial" w:cs="Arial"/>
        </w:rPr>
        <w:t>partnership,</w:t>
      </w:r>
      <w:proofErr w:type="gramEnd"/>
      <w:r w:rsidRPr="00847DDF">
        <w:rPr>
          <w:rFonts w:ascii="Arial" w:hAnsi="Arial" w:cs="Arial"/>
        </w:rPr>
        <w:t xml:space="preserve"> the TSAB part funded the project during 2017/18.</w:t>
      </w:r>
    </w:p>
    <w:p w:rsidR="00DC3662" w:rsidRPr="00717FCE" w:rsidRDefault="00DC3662" w:rsidP="0004614E">
      <w:pPr>
        <w:jc w:val="both"/>
        <w:rPr>
          <w:rFonts w:ascii="Arial" w:hAnsi="Arial" w:cs="Arial"/>
          <w:sz w:val="28"/>
          <w:szCs w:val="28"/>
        </w:rPr>
      </w:pPr>
    </w:p>
    <w:p w:rsidR="004434F9" w:rsidRDefault="00A568B6">
      <w:pPr>
        <w:rPr>
          <w:rFonts w:ascii="Arial" w:hAnsi="Arial" w:cs="Arial"/>
          <w:b/>
          <w:sz w:val="28"/>
          <w:szCs w:val="28"/>
        </w:rPr>
      </w:pPr>
      <w:r w:rsidRPr="00A568B6">
        <w:rPr>
          <w:rFonts w:ascii="Arial" w:hAnsi="Arial" w:cs="Arial"/>
          <w:b/>
          <w:sz w:val="28"/>
          <w:szCs w:val="28"/>
        </w:rPr>
        <w:t>LOOKING FORWARD TO 2018/19</w:t>
      </w:r>
    </w:p>
    <w:p w:rsidR="00A568B6" w:rsidRDefault="00A568B6">
      <w:pPr>
        <w:rPr>
          <w:rFonts w:ascii="Arial" w:hAnsi="Arial" w:cs="Arial"/>
        </w:rPr>
      </w:pPr>
      <w:r>
        <w:rPr>
          <w:rFonts w:ascii="Arial" w:hAnsi="Arial" w:cs="Arial"/>
        </w:rPr>
        <w:t xml:space="preserve">The TSAB has a three year Strategic Plan which runs from 2017 to 2020, this year Strategic Objective 3, described in the table on  page x was discharged as it was felt that this had been achieved. The following objectives will continue to be a focus for the TSAB during </w:t>
      </w:r>
      <w:r w:rsidRPr="00A568B6">
        <w:rPr>
          <w:rFonts w:ascii="Arial" w:hAnsi="Arial" w:cs="Arial"/>
        </w:rPr>
        <w:t>2018/19.</w:t>
      </w:r>
    </w:p>
    <w:p w:rsidR="00A568B6" w:rsidRPr="00A568B6" w:rsidRDefault="00A568B6">
      <w:pPr>
        <w:rPr>
          <w:rFonts w:ascii="Arial" w:hAnsi="Arial" w:cs="Arial"/>
        </w:rPr>
      </w:pPr>
      <w:r>
        <w:rPr>
          <w:rFonts w:ascii="Arial" w:hAnsi="Arial" w:cs="Arial"/>
        </w:rPr>
        <w:t xml:space="preserve">SO 1: </w:t>
      </w:r>
      <w:r w:rsidRPr="00A568B6">
        <w:rPr>
          <w:rFonts w:ascii="Arial" w:hAnsi="Arial" w:cs="Arial"/>
        </w:rPr>
        <w:t>By 31</w:t>
      </w:r>
      <w:r w:rsidRPr="00A568B6">
        <w:rPr>
          <w:rFonts w:ascii="Arial" w:hAnsi="Arial" w:cs="Arial"/>
          <w:vertAlign w:val="superscript"/>
        </w:rPr>
        <w:t>st</w:t>
      </w:r>
      <w:r w:rsidRPr="00A568B6">
        <w:rPr>
          <w:rFonts w:ascii="Arial" w:hAnsi="Arial" w:cs="Arial"/>
        </w:rPr>
        <w:t xml:space="preserve"> March 2019 this Board will have published a Communication Strategy and two related local actions plans for Communication and Awareness Raising with particular emphasis on providers, carers, families and individuals and communities at risk.  </w:t>
      </w:r>
    </w:p>
    <w:p w:rsidR="00A568B6" w:rsidRPr="00A568B6" w:rsidRDefault="00A568B6">
      <w:pPr>
        <w:rPr>
          <w:rFonts w:ascii="Arial" w:hAnsi="Arial" w:cs="Arial"/>
        </w:rPr>
      </w:pPr>
      <w:r>
        <w:rPr>
          <w:rFonts w:ascii="Arial" w:hAnsi="Arial" w:cs="Arial"/>
        </w:rPr>
        <w:t xml:space="preserve">SO 2: </w:t>
      </w:r>
      <w:r w:rsidRPr="00A568B6">
        <w:rPr>
          <w:rFonts w:ascii="Arial" w:hAnsi="Arial" w:cs="Arial"/>
        </w:rPr>
        <w:t>By 31</w:t>
      </w:r>
      <w:r w:rsidRPr="00A568B6">
        <w:rPr>
          <w:rFonts w:ascii="Arial" w:hAnsi="Arial" w:cs="Arial"/>
          <w:vertAlign w:val="superscript"/>
        </w:rPr>
        <w:t>st</w:t>
      </w:r>
      <w:r w:rsidRPr="00A568B6">
        <w:rPr>
          <w:rFonts w:ascii="Arial" w:hAnsi="Arial" w:cs="Arial"/>
        </w:rPr>
        <w:t xml:space="preserve"> March 2019 this Board will have produced its strategy and associated action plan for the Prevention of Harm and Abuse to Adults at Risk.</w:t>
      </w:r>
    </w:p>
    <w:p w:rsidR="00A568B6" w:rsidRPr="00A568B6" w:rsidRDefault="00A568B6" w:rsidP="00A568B6">
      <w:pPr>
        <w:shd w:val="clear" w:color="auto" w:fill="FFFFFF" w:themeFill="background1"/>
        <w:jc w:val="both"/>
        <w:rPr>
          <w:rFonts w:ascii="Arial" w:hAnsi="Arial" w:cs="Arial"/>
          <w:bCs/>
        </w:rPr>
      </w:pPr>
      <w:r>
        <w:rPr>
          <w:rFonts w:ascii="Arial" w:hAnsi="Arial" w:cs="Arial"/>
          <w:bCs/>
        </w:rPr>
        <w:t xml:space="preserve">SO 3: </w:t>
      </w:r>
      <w:r w:rsidRPr="00A568B6">
        <w:rPr>
          <w:rFonts w:ascii="Arial" w:hAnsi="Arial" w:cs="Arial"/>
          <w:bCs/>
        </w:rPr>
        <w:t>By 31</w:t>
      </w:r>
      <w:r w:rsidRPr="00A568B6">
        <w:rPr>
          <w:rFonts w:ascii="Arial" w:hAnsi="Arial" w:cs="Arial"/>
          <w:bCs/>
          <w:vertAlign w:val="superscript"/>
        </w:rPr>
        <w:t>st</w:t>
      </w:r>
      <w:r w:rsidRPr="00A568B6">
        <w:rPr>
          <w:rFonts w:ascii="Arial" w:hAnsi="Arial" w:cs="Arial"/>
          <w:bCs/>
        </w:rPr>
        <w:t xml:space="preserve"> March 2020, this Board will have conducted a review of the level of sexual exploitation of adults in Thurrock and made recommendations for further action if appropriate.</w:t>
      </w:r>
    </w:p>
    <w:p w:rsidR="00A568B6" w:rsidRDefault="00A568B6" w:rsidP="00A568B6">
      <w:pPr>
        <w:rPr>
          <w:rFonts w:ascii="Arial" w:hAnsi="Arial" w:cs="Arial"/>
        </w:rPr>
      </w:pPr>
      <w:r>
        <w:rPr>
          <w:rFonts w:ascii="Arial" w:hAnsi="Arial" w:cs="Arial"/>
        </w:rPr>
        <w:t xml:space="preserve">SO 4: </w:t>
      </w:r>
      <w:r w:rsidRPr="00A568B6">
        <w:rPr>
          <w:rFonts w:ascii="Arial" w:hAnsi="Arial" w:cs="Arial"/>
        </w:rPr>
        <w:t>By 31</w:t>
      </w:r>
      <w:r w:rsidRPr="00A568B6">
        <w:rPr>
          <w:rFonts w:ascii="Arial" w:hAnsi="Arial" w:cs="Arial"/>
          <w:vertAlign w:val="superscript"/>
        </w:rPr>
        <w:t>st</w:t>
      </w:r>
      <w:r w:rsidRPr="00A568B6">
        <w:rPr>
          <w:rFonts w:ascii="Arial" w:hAnsi="Arial" w:cs="Arial"/>
        </w:rPr>
        <w:t xml:space="preserve"> March 2020 this Board will have reviewed and made recommendations for change if appropriate regarding the safeguarding gaps for at risk young people in transition to adulthood.</w:t>
      </w:r>
    </w:p>
    <w:p w:rsidR="003B6CA7" w:rsidRDefault="003B6CA7">
      <w:pPr>
        <w:rPr>
          <w:rFonts w:ascii="Arial" w:hAnsi="Arial" w:cs="Arial"/>
        </w:rPr>
      </w:pPr>
      <w:r>
        <w:rPr>
          <w:rFonts w:ascii="Arial" w:hAnsi="Arial" w:cs="Arial"/>
        </w:rPr>
        <w:br w:type="page"/>
      </w:r>
    </w:p>
    <w:p w:rsidR="003B6CA7" w:rsidRPr="00D13997" w:rsidRDefault="003B6CA7" w:rsidP="00CD71F9">
      <w:pPr>
        <w:jc w:val="right"/>
        <w:rPr>
          <w:rFonts w:ascii="Arial" w:hAnsi="Arial" w:cs="Arial"/>
          <w:b/>
          <w:sz w:val="24"/>
          <w:szCs w:val="24"/>
        </w:rPr>
      </w:pPr>
      <w:r w:rsidRPr="00D13997">
        <w:rPr>
          <w:rFonts w:ascii="Arial" w:hAnsi="Arial" w:cs="Arial"/>
          <w:b/>
          <w:sz w:val="24"/>
          <w:szCs w:val="24"/>
        </w:rPr>
        <w:lastRenderedPageBreak/>
        <w:t>APPENDIX 1</w:t>
      </w:r>
    </w:p>
    <w:p w:rsidR="003B6CA7" w:rsidRPr="00CD71F9" w:rsidRDefault="003B6CA7" w:rsidP="003B6CA7">
      <w:pPr>
        <w:jc w:val="both"/>
        <w:rPr>
          <w:rFonts w:ascii="Arial" w:hAnsi="Arial" w:cs="Arial"/>
          <w:b/>
          <w:sz w:val="24"/>
          <w:szCs w:val="24"/>
        </w:rPr>
      </w:pPr>
      <w:r w:rsidRPr="00CD71F9">
        <w:rPr>
          <w:rFonts w:ascii="Arial" w:hAnsi="Arial" w:cs="Arial"/>
          <w:b/>
          <w:sz w:val="24"/>
          <w:szCs w:val="24"/>
        </w:rPr>
        <w:t>SAB Membership and attendance record</w:t>
      </w:r>
    </w:p>
    <w:tbl>
      <w:tblPr>
        <w:tblW w:w="10207" w:type="dxa"/>
        <w:tblInd w:w="-601" w:type="dxa"/>
        <w:tblLook w:val="04A0" w:firstRow="1" w:lastRow="0" w:firstColumn="1" w:lastColumn="0" w:noHBand="0" w:noVBand="1"/>
      </w:tblPr>
      <w:tblGrid>
        <w:gridCol w:w="2977"/>
        <w:gridCol w:w="3261"/>
        <w:gridCol w:w="932"/>
        <w:gridCol w:w="932"/>
        <w:gridCol w:w="932"/>
        <w:gridCol w:w="1173"/>
      </w:tblGrid>
      <w:tr w:rsidR="00847DDF" w:rsidRPr="00847DDF" w:rsidTr="00847DDF">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7DDF" w:rsidRPr="00847DDF" w:rsidRDefault="00847DDF" w:rsidP="00847DDF">
            <w:pPr>
              <w:spacing w:after="0" w:line="240" w:lineRule="auto"/>
              <w:rPr>
                <w:rFonts w:ascii="Calibri" w:eastAsia="Times New Roman" w:hAnsi="Calibri" w:cs="Times New Roman"/>
                <w:b/>
                <w:bCs/>
                <w:color w:val="FFFFFF"/>
                <w:sz w:val="20"/>
                <w:szCs w:val="20"/>
                <w:lang w:eastAsia="en-GB"/>
              </w:rPr>
            </w:pPr>
            <w:r w:rsidRPr="00847DDF">
              <w:rPr>
                <w:rFonts w:ascii="Calibri" w:eastAsia="Times New Roman" w:hAnsi="Calibri" w:cs="Times New Roman"/>
                <w:b/>
                <w:bCs/>
                <w:color w:val="FFFFFF"/>
                <w:sz w:val="20"/>
                <w:szCs w:val="20"/>
                <w:lang w:eastAsia="en-GB"/>
              </w:rPr>
              <w:t>Role</w:t>
            </w:r>
          </w:p>
        </w:tc>
        <w:tc>
          <w:tcPr>
            <w:tcW w:w="3261" w:type="dxa"/>
            <w:tcBorders>
              <w:top w:val="single" w:sz="4" w:space="0" w:color="auto"/>
              <w:left w:val="nil"/>
              <w:bottom w:val="single" w:sz="4" w:space="0" w:color="auto"/>
              <w:right w:val="single" w:sz="4" w:space="0" w:color="auto"/>
            </w:tcBorders>
            <w:shd w:val="clear" w:color="000000" w:fill="92D050"/>
            <w:vAlign w:val="bottom"/>
            <w:hideMark/>
          </w:tcPr>
          <w:p w:rsidR="00847DDF" w:rsidRPr="00847DDF" w:rsidRDefault="00847DDF" w:rsidP="00847DDF">
            <w:pPr>
              <w:spacing w:after="0" w:line="240" w:lineRule="auto"/>
              <w:rPr>
                <w:rFonts w:ascii="Calibri" w:eastAsia="Times New Roman" w:hAnsi="Calibri" w:cs="Times New Roman"/>
                <w:b/>
                <w:bCs/>
                <w:color w:val="FFFFFF"/>
                <w:sz w:val="20"/>
                <w:szCs w:val="20"/>
                <w:lang w:eastAsia="en-GB"/>
              </w:rPr>
            </w:pPr>
            <w:r w:rsidRPr="00847DDF">
              <w:rPr>
                <w:rFonts w:ascii="Calibri" w:eastAsia="Times New Roman" w:hAnsi="Calibri" w:cs="Times New Roman"/>
                <w:b/>
                <w:bCs/>
                <w:color w:val="FFFFFF"/>
                <w:sz w:val="20"/>
                <w:szCs w:val="20"/>
                <w:lang w:eastAsia="en-GB"/>
              </w:rPr>
              <w:t>Organisation</w:t>
            </w:r>
          </w:p>
        </w:tc>
        <w:tc>
          <w:tcPr>
            <w:tcW w:w="932" w:type="dxa"/>
            <w:tcBorders>
              <w:top w:val="single" w:sz="4" w:space="0" w:color="auto"/>
              <w:left w:val="nil"/>
              <w:bottom w:val="single" w:sz="4" w:space="0" w:color="auto"/>
              <w:right w:val="single" w:sz="4" w:space="0" w:color="auto"/>
            </w:tcBorders>
            <w:shd w:val="clear" w:color="000000" w:fill="92D050"/>
            <w:noWrap/>
            <w:vAlign w:val="bottom"/>
            <w:hideMark/>
          </w:tcPr>
          <w:p w:rsidR="00847DDF" w:rsidRPr="00847DDF" w:rsidRDefault="00847DDF" w:rsidP="00847DDF">
            <w:pPr>
              <w:spacing w:after="0" w:line="240" w:lineRule="auto"/>
              <w:rPr>
                <w:rFonts w:ascii="Calibri" w:eastAsia="Times New Roman" w:hAnsi="Calibri" w:cs="Times New Roman"/>
                <w:b/>
                <w:bCs/>
                <w:color w:val="FFFFFF"/>
                <w:sz w:val="20"/>
                <w:szCs w:val="20"/>
                <w:lang w:eastAsia="en-GB"/>
              </w:rPr>
            </w:pPr>
            <w:r w:rsidRPr="00847DDF">
              <w:rPr>
                <w:rFonts w:ascii="Calibri" w:eastAsia="Times New Roman" w:hAnsi="Calibri" w:cs="Times New Roman"/>
                <w:b/>
                <w:bCs/>
                <w:color w:val="FFFFFF"/>
                <w:sz w:val="20"/>
                <w:szCs w:val="20"/>
                <w:lang w:eastAsia="en-GB"/>
              </w:rPr>
              <w:t>15.05.17</w:t>
            </w:r>
          </w:p>
        </w:tc>
        <w:tc>
          <w:tcPr>
            <w:tcW w:w="932" w:type="dxa"/>
            <w:tcBorders>
              <w:top w:val="single" w:sz="4" w:space="0" w:color="auto"/>
              <w:left w:val="nil"/>
              <w:bottom w:val="single" w:sz="4" w:space="0" w:color="auto"/>
              <w:right w:val="single" w:sz="4" w:space="0" w:color="auto"/>
            </w:tcBorders>
            <w:shd w:val="clear" w:color="000000" w:fill="92D050"/>
            <w:noWrap/>
            <w:vAlign w:val="bottom"/>
            <w:hideMark/>
          </w:tcPr>
          <w:p w:rsidR="00847DDF" w:rsidRPr="00847DDF" w:rsidRDefault="00847DDF" w:rsidP="00847DDF">
            <w:pPr>
              <w:spacing w:after="0" w:line="240" w:lineRule="auto"/>
              <w:rPr>
                <w:rFonts w:ascii="Calibri" w:eastAsia="Times New Roman" w:hAnsi="Calibri" w:cs="Times New Roman"/>
                <w:b/>
                <w:bCs/>
                <w:color w:val="FFFFFF"/>
                <w:sz w:val="20"/>
                <w:szCs w:val="20"/>
                <w:lang w:eastAsia="en-GB"/>
              </w:rPr>
            </w:pPr>
            <w:r w:rsidRPr="00847DDF">
              <w:rPr>
                <w:rFonts w:ascii="Calibri" w:eastAsia="Times New Roman" w:hAnsi="Calibri" w:cs="Times New Roman"/>
                <w:b/>
                <w:bCs/>
                <w:color w:val="FFFFFF"/>
                <w:sz w:val="20"/>
                <w:szCs w:val="20"/>
                <w:lang w:eastAsia="en-GB"/>
              </w:rPr>
              <w:t>14.08.17</w:t>
            </w:r>
          </w:p>
        </w:tc>
        <w:tc>
          <w:tcPr>
            <w:tcW w:w="932" w:type="dxa"/>
            <w:tcBorders>
              <w:top w:val="single" w:sz="4" w:space="0" w:color="auto"/>
              <w:left w:val="nil"/>
              <w:bottom w:val="single" w:sz="4" w:space="0" w:color="auto"/>
              <w:right w:val="single" w:sz="4" w:space="0" w:color="auto"/>
            </w:tcBorders>
            <w:shd w:val="clear" w:color="000000" w:fill="92D050"/>
            <w:noWrap/>
            <w:vAlign w:val="bottom"/>
            <w:hideMark/>
          </w:tcPr>
          <w:p w:rsidR="00847DDF" w:rsidRPr="00847DDF" w:rsidRDefault="00847DDF" w:rsidP="00847DDF">
            <w:pPr>
              <w:spacing w:after="0" w:line="240" w:lineRule="auto"/>
              <w:rPr>
                <w:rFonts w:ascii="Calibri" w:eastAsia="Times New Roman" w:hAnsi="Calibri" w:cs="Times New Roman"/>
                <w:b/>
                <w:bCs/>
                <w:color w:val="FFFFFF"/>
                <w:sz w:val="20"/>
                <w:szCs w:val="20"/>
                <w:lang w:eastAsia="en-GB"/>
              </w:rPr>
            </w:pPr>
            <w:r w:rsidRPr="00847DDF">
              <w:rPr>
                <w:rFonts w:ascii="Calibri" w:eastAsia="Times New Roman" w:hAnsi="Calibri" w:cs="Times New Roman"/>
                <w:b/>
                <w:bCs/>
                <w:color w:val="FFFFFF"/>
                <w:sz w:val="20"/>
                <w:szCs w:val="20"/>
                <w:lang w:eastAsia="en-GB"/>
              </w:rPr>
              <w:t>13.11.17</w:t>
            </w:r>
          </w:p>
        </w:tc>
        <w:tc>
          <w:tcPr>
            <w:tcW w:w="1173" w:type="dxa"/>
            <w:tcBorders>
              <w:top w:val="single" w:sz="4" w:space="0" w:color="auto"/>
              <w:left w:val="nil"/>
              <w:bottom w:val="single" w:sz="4" w:space="0" w:color="auto"/>
              <w:right w:val="single" w:sz="4" w:space="0" w:color="auto"/>
            </w:tcBorders>
            <w:shd w:val="clear" w:color="000000" w:fill="92D050"/>
            <w:noWrap/>
            <w:vAlign w:val="bottom"/>
            <w:hideMark/>
          </w:tcPr>
          <w:p w:rsidR="00847DDF" w:rsidRPr="00847DDF" w:rsidRDefault="00847DDF" w:rsidP="00847DDF">
            <w:pPr>
              <w:spacing w:after="0" w:line="240" w:lineRule="auto"/>
              <w:rPr>
                <w:rFonts w:ascii="Calibri" w:eastAsia="Times New Roman" w:hAnsi="Calibri" w:cs="Times New Roman"/>
                <w:b/>
                <w:bCs/>
                <w:color w:val="FFFFFF"/>
                <w:sz w:val="20"/>
                <w:szCs w:val="20"/>
                <w:lang w:eastAsia="en-GB"/>
              </w:rPr>
            </w:pPr>
            <w:r w:rsidRPr="00847DDF">
              <w:rPr>
                <w:rFonts w:ascii="Calibri" w:eastAsia="Times New Roman" w:hAnsi="Calibri" w:cs="Times New Roman"/>
                <w:b/>
                <w:bCs/>
                <w:color w:val="FFFFFF"/>
                <w:sz w:val="20"/>
                <w:szCs w:val="20"/>
                <w:lang w:eastAsia="en-GB"/>
              </w:rPr>
              <w:t>19.02.18</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TSAB Independent Chair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Independent</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TSAB Manager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Independent</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TSAB Administrator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Independent</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Chief Nurse</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NHS Thurrock C</w:t>
            </w:r>
            <w:r>
              <w:rPr>
                <w:rFonts w:ascii="Calibri" w:eastAsia="Times New Roman" w:hAnsi="Calibri" w:cs="Times New Roman"/>
                <w:color w:val="000000"/>
                <w:sz w:val="20"/>
                <w:szCs w:val="20"/>
                <w:lang w:eastAsia="en-GB"/>
              </w:rPr>
              <w:t>CG</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R</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R</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Assistant Director Adult Social Care</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Council</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Detective Superintendent</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Essex Police</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R</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R</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Principal Social Worker &amp; Strategic Lead</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Council</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Safeguarding Adults Team Manager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Council</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Strategic Lead: Commissioning</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Council</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Assistant Director Housing</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Council</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Public Health consultant</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Council</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Legal Advisor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On behalf of Thurrock Council</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Portfolio Holder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Council</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 xml:space="preserve">Shadow </w:t>
            </w:r>
            <w:proofErr w:type="spellStart"/>
            <w:r w:rsidRPr="00847DDF">
              <w:rPr>
                <w:rFonts w:ascii="Calibri" w:eastAsia="Times New Roman" w:hAnsi="Calibri" w:cs="Times New Roman"/>
                <w:color w:val="000000"/>
                <w:sz w:val="20"/>
                <w:szCs w:val="20"/>
                <w:lang w:eastAsia="en-GB"/>
              </w:rPr>
              <w:t>Portfoio</w:t>
            </w:r>
            <w:proofErr w:type="spellEnd"/>
            <w:r w:rsidRPr="00847DDF">
              <w:rPr>
                <w:rFonts w:ascii="Calibri" w:eastAsia="Times New Roman" w:hAnsi="Calibri" w:cs="Times New Roman"/>
                <w:color w:val="000000"/>
                <w:sz w:val="20"/>
                <w:szCs w:val="20"/>
                <w:lang w:eastAsia="en-GB"/>
              </w:rPr>
              <w:t xml:space="preserve"> Holder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Council</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Head of Children's Services</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Council</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Head of Youth Offending Service</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Council</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District Commander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Essex Police</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R</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Deputy Director of Nursing</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NHS England</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Assistant Director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Office of the Police and Crime Commissioner</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GP -CCG  Board Member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Clinical Commissioning Group</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Safeguarding Lead</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East of England Ambulance NHS Trust</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Assistant Chief Fire Officer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Essex County Fire and Rescue Service</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6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 xml:space="preserve">Assistant Director </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Essex Partnership University NHS Foundation Trust</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Integrated Care Director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North East London NHS Foundation Trust</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547"/>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Deputy Director of Nursing</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Basildon and Thurrock University Hospitals NHS Foundation Trust</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Director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Community Rehabilitation Company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R</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Head of South Essex LDU Cluster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National Probation Service</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R</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Manager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Manor Court Care Home</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Manager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proofErr w:type="spellStart"/>
            <w:r w:rsidRPr="00847DDF">
              <w:rPr>
                <w:rFonts w:ascii="Calibri" w:eastAsia="Times New Roman" w:hAnsi="Calibri" w:cs="Times New Roman"/>
                <w:color w:val="000000"/>
                <w:sz w:val="20"/>
                <w:szCs w:val="20"/>
                <w:lang w:eastAsia="en-GB"/>
              </w:rPr>
              <w:t>Runwood</w:t>
            </w:r>
            <w:proofErr w:type="spellEnd"/>
            <w:r w:rsidRPr="00847DDF">
              <w:rPr>
                <w:rFonts w:ascii="Calibri" w:eastAsia="Times New Roman" w:hAnsi="Calibri" w:cs="Times New Roman"/>
                <w:color w:val="000000"/>
                <w:sz w:val="20"/>
                <w:szCs w:val="20"/>
                <w:lang w:eastAsia="en-GB"/>
              </w:rPr>
              <w:t xml:space="preserve"> Homes</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 xml:space="preserve">Principal </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Adult Community College</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CSP</w:t>
            </w:r>
            <w:r w:rsidRPr="00847DDF">
              <w:rPr>
                <w:rFonts w:ascii="Calibri" w:eastAsia="Times New Roman" w:hAnsi="Calibri" w:cs="Times New Roman"/>
                <w:color w:val="000000"/>
                <w:sz w:val="20"/>
                <w:szCs w:val="20"/>
                <w:lang w:eastAsia="en-GB"/>
              </w:rPr>
              <w:t xml:space="preserve"> Manager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 xml:space="preserve">Community Safety </w:t>
            </w:r>
            <w:r>
              <w:rPr>
                <w:rFonts w:ascii="Calibri" w:eastAsia="Times New Roman" w:hAnsi="Calibri" w:cs="Times New Roman"/>
                <w:color w:val="000000"/>
                <w:sz w:val="20"/>
                <w:szCs w:val="20"/>
                <w:lang w:eastAsia="en-GB"/>
              </w:rPr>
              <w:t>P</w:t>
            </w:r>
            <w:r w:rsidRPr="00847DDF">
              <w:rPr>
                <w:rFonts w:ascii="Calibri" w:eastAsia="Times New Roman" w:hAnsi="Calibri" w:cs="Times New Roman"/>
                <w:color w:val="000000"/>
                <w:sz w:val="20"/>
                <w:szCs w:val="20"/>
                <w:lang w:eastAsia="en-GB"/>
              </w:rPr>
              <w:t>artnership</w:t>
            </w:r>
            <w:r>
              <w:rPr>
                <w:rFonts w:ascii="Calibri" w:eastAsia="Times New Roman" w:hAnsi="Calibri" w:cs="Times New Roman"/>
                <w:color w:val="000000"/>
                <w:sz w:val="20"/>
                <w:szCs w:val="20"/>
                <w:lang w:eastAsia="en-GB"/>
              </w:rPr>
              <w:t xml:space="preserve"> (CSP)</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 </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 </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 </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 </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Chief Operating Officer</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proofErr w:type="spellStart"/>
            <w:r w:rsidRPr="00847DDF">
              <w:rPr>
                <w:rFonts w:ascii="Calibri" w:eastAsia="Times New Roman" w:hAnsi="Calibri" w:cs="Times New Roman"/>
                <w:color w:val="000000"/>
                <w:sz w:val="20"/>
                <w:szCs w:val="20"/>
                <w:lang w:eastAsia="en-GB"/>
              </w:rPr>
              <w:t>Healthwatch</w:t>
            </w:r>
            <w:proofErr w:type="spellEnd"/>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Chief Executive</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Lifestyle Solutions</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r>
      <w:tr w:rsidR="00847DDF" w:rsidRPr="00847DDF" w:rsidTr="00847DDF">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Chief Executive</w:t>
            </w:r>
          </w:p>
        </w:tc>
        <w:tc>
          <w:tcPr>
            <w:tcW w:w="3261" w:type="dxa"/>
            <w:tcBorders>
              <w:top w:val="nil"/>
              <w:left w:val="nil"/>
              <w:bottom w:val="single" w:sz="4" w:space="0" w:color="auto"/>
              <w:right w:val="single" w:sz="4" w:space="0" w:color="auto"/>
            </w:tcBorders>
            <w:shd w:val="clear" w:color="auto" w:fill="auto"/>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Thurrock Coalition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Y</w:t>
            </w:r>
          </w:p>
        </w:tc>
        <w:tc>
          <w:tcPr>
            <w:tcW w:w="932"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c>
          <w:tcPr>
            <w:tcW w:w="1173" w:type="dxa"/>
            <w:tcBorders>
              <w:top w:val="nil"/>
              <w:left w:val="nil"/>
              <w:bottom w:val="single" w:sz="4" w:space="0" w:color="auto"/>
              <w:right w:val="single" w:sz="4" w:space="0" w:color="auto"/>
            </w:tcBorders>
            <w:shd w:val="clear" w:color="auto" w:fill="auto"/>
            <w:noWrap/>
            <w:vAlign w:val="bottom"/>
            <w:hideMark/>
          </w:tcPr>
          <w:p w:rsidR="00847DDF" w:rsidRPr="00847DDF" w:rsidRDefault="00847DDF" w:rsidP="00847DDF">
            <w:pPr>
              <w:spacing w:after="0" w:line="240" w:lineRule="auto"/>
              <w:rPr>
                <w:rFonts w:ascii="Calibri" w:eastAsia="Times New Roman" w:hAnsi="Calibri" w:cs="Times New Roman"/>
                <w:color w:val="000000"/>
                <w:sz w:val="20"/>
                <w:szCs w:val="20"/>
                <w:lang w:eastAsia="en-GB"/>
              </w:rPr>
            </w:pPr>
            <w:r w:rsidRPr="00847DDF">
              <w:rPr>
                <w:rFonts w:ascii="Calibri" w:eastAsia="Times New Roman" w:hAnsi="Calibri" w:cs="Times New Roman"/>
                <w:color w:val="000000"/>
                <w:sz w:val="20"/>
                <w:szCs w:val="20"/>
                <w:lang w:eastAsia="en-GB"/>
              </w:rPr>
              <w:t>N</w:t>
            </w:r>
          </w:p>
        </w:tc>
      </w:tr>
    </w:tbl>
    <w:p w:rsidR="003B6CA7" w:rsidRPr="00A568B6" w:rsidRDefault="003B6CA7" w:rsidP="00847DDF">
      <w:pPr>
        <w:rPr>
          <w:rFonts w:ascii="Arial" w:hAnsi="Arial" w:cs="Arial"/>
        </w:rPr>
      </w:pPr>
    </w:p>
    <w:sectPr w:rsidR="003B6CA7" w:rsidRPr="00A568B6" w:rsidSect="004B288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27" w:rsidRDefault="00713227" w:rsidP="004B288B">
      <w:pPr>
        <w:spacing w:after="0" w:line="240" w:lineRule="auto"/>
      </w:pPr>
      <w:r>
        <w:separator/>
      </w:r>
    </w:p>
  </w:endnote>
  <w:endnote w:type="continuationSeparator" w:id="0">
    <w:p w:rsidR="00713227" w:rsidRDefault="00713227" w:rsidP="004B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E7" w:rsidRDefault="00713227" w:rsidP="00593EB4">
    <w:pPr>
      <w:pStyle w:val="Footer"/>
      <w:ind w:right="360"/>
    </w:pPr>
    <w:sdt>
      <w:sdtPr>
        <w:id w:val="786155741"/>
        <w:temporary/>
        <w:showingPlcHdr/>
      </w:sdtPr>
      <w:sdtEndPr/>
      <w:sdtContent>
        <w:r w:rsidR="00CC52E7">
          <w:t>[Type text]</w:t>
        </w:r>
      </w:sdtContent>
    </w:sdt>
    <w:r w:rsidR="00CC52E7">
      <w:ptab w:relativeTo="margin" w:alignment="center" w:leader="none"/>
    </w:r>
    <w:sdt>
      <w:sdtPr>
        <w:id w:val="627982043"/>
        <w:temporary/>
        <w:showingPlcHdr/>
      </w:sdtPr>
      <w:sdtEndPr/>
      <w:sdtContent>
        <w:r w:rsidR="00CC52E7">
          <w:t>[Type text]</w:t>
        </w:r>
      </w:sdtContent>
    </w:sdt>
    <w:r w:rsidR="00CC52E7">
      <w:ptab w:relativeTo="margin" w:alignment="right" w:leader="none"/>
    </w:r>
    <w:sdt>
      <w:sdtPr>
        <w:id w:val="-1472667950"/>
        <w:temporary/>
        <w:showingPlcHdr/>
      </w:sdtPr>
      <w:sdtEndPr/>
      <w:sdtContent>
        <w:r w:rsidR="00CC52E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09296"/>
      <w:docPartObj>
        <w:docPartGallery w:val="Page Numbers (Bottom of Page)"/>
        <w:docPartUnique/>
      </w:docPartObj>
    </w:sdtPr>
    <w:sdtEndPr>
      <w:rPr>
        <w:noProof/>
      </w:rPr>
    </w:sdtEndPr>
    <w:sdtContent>
      <w:p w:rsidR="00B253AA" w:rsidRDefault="00B253AA">
        <w:pPr>
          <w:pStyle w:val="Footer"/>
          <w:jc w:val="center"/>
        </w:pPr>
        <w:r>
          <w:fldChar w:fldCharType="begin"/>
        </w:r>
        <w:r>
          <w:instrText xml:space="preserve"> PAGE   \* MERGEFORMAT </w:instrText>
        </w:r>
        <w:r>
          <w:fldChar w:fldCharType="separate"/>
        </w:r>
        <w:r w:rsidR="00760141">
          <w:rPr>
            <w:noProof/>
          </w:rPr>
          <w:t>16</w:t>
        </w:r>
        <w:r>
          <w:rPr>
            <w:noProof/>
          </w:rPr>
          <w:fldChar w:fldCharType="end"/>
        </w:r>
      </w:p>
    </w:sdtContent>
  </w:sdt>
  <w:p w:rsidR="00CC52E7" w:rsidRDefault="00CC52E7" w:rsidP="00C005BC">
    <w:pPr>
      <w:spacing w:after="0" w:line="200" w:lineRule="exact"/>
      <w:ind w:right="360"/>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AA" w:rsidRDefault="00B253AA">
    <w:pPr>
      <w:pStyle w:val="Footer"/>
      <w:jc w:val="center"/>
    </w:pPr>
  </w:p>
  <w:p w:rsidR="00B253AA" w:rsidRDefault="00B2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27" w:rsidRDefault="00713227" w:rsidP="004B288B">
      <w:pPr>
        <w:spacing w:after="0" w:line="240" w:lineRule="auto"/>
      </w:pPr>
      <w:r>
        <w:separator/>
      </w:r>
    </w:p>
  </w:footnote>
  <w:footnote w:type="continuationSeparator" w:id="0">
    <w:p w:rsidR="00713227" w:rsidRDefault="00713227" w:rsidP="004B2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E7" w:rsidRPr="003A0B09" w:rsidRDefault="00CC52E7" w:rsidP="004B779A">
    <w:pPr>
      <w:pStyle w:val="Header"/>
      <w:jc w:val="right"/>
      <w:rPr>
        <w:rFonts w:ascii="Arial" w:hAnsi="Arial" w:cs="Arial"/>
      </w:rPr>
    </w:pPr>
    <w:r w:rsidRPr="003A0B09">
      <w:rPr>
        <w:rFonts w:ascii="Arial" w:hAnsi="Arial" w:cs="Arial"/>
      </w:rPr>
      <w:t>Thurrock Safeguarding Adults Board</w:t>
    </w:r>
  </w:p>
  <w:p w:rsidR="00CC52E7" w:rsidRPr="003A0B09" w:rsidRDefault="00CC52E7" w:rsidP="004B779A">
    <w:pPr>
      <w:pStyle w:val="Header"/>
      <w:jc w:val="right"/>
      <w:rPr>
        <w:rFonts w:ascii="Arial" w:hAnsi="Arial" w:cs="Arial"/>
      </w:rPr>
    </w:pPr>
    <w:r w:rsidRPr="003A0B09">
      <w:rPr>
        <w:rFonts w:ascii="Arial" w:hAnsi="Arial" w:cs="Arial"/>
      </w:rPr>
      <w:t>Annual Report 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1C6"/>
    <w:multiLevelType w:val="hybridMultilevel"/>
    <w:tmpl w:val="841A3CBA"/>
    <w:lvl w:ilvl="0" w:tplc="0AE2FD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602BFC"/>
    <w:multiLevelType w:val="hybridMultilevel"/>
    <w:tmpl w:val="EAC07624"/>
    <w:lvl w:ilvl="0" w:tplc="6E66C9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D8460B"/>
    <w:multiLevelType w:val="hybridMultilevel"/>
    <w:tmpl w:val="B4A8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F5"/>
    <w:rsid w:val="00035C86"/>
    <w:rsid w:val="000443C9"/>
    <w:rsid w:val="0004614E"/>
    <w:rsid w:val="000B6E96"/>
    <w:rsid w:val="000E36CD"/>
    <w:rsid w:val="001564BB"/>
    <w:rsid w:val="0019457F"/>
    <w:rsid w:val="001C58B2"/>
    <w:rsid w:val="00211B2E"/>
    <w:rsid w:val="00253015"/>
    <w:rsid w:val="002A3A29"/>
    <w:rsid w:val="002D5ED9"/>
    <w:rsid w:val="00337142"/>
    <w:rsid w:val="003A0B09"/>
    <w:rsid w:val="003B6CA7"/>
    <w:rsid w:val="003C4C0F"/>
    <w:rsid w:val="004434F9"/>
    <w:rsid w:val="00471D49"/>
    <w:rsid w:val="004B288B"/>
    <w:rsid w:val="004B779A"/>
    <w:rsid w:val="00502227"/>
    <w:rsid w:val="00593EB4"/>
    <w:rsid w:val="005B5E29"/>
    <w:rsid w:val="006231AE"/>
    <w:rsid w:val="006920A1"/>
    <w:rsid w:val="006E7464"/>
    <w:rsid w:val="00713227"/>
    <w:rsid w:val="00713941"/>
    <w:rsid w:val="00717FCE"/>
    <w:rsid w:val="00760141"/>
    <w:rsid w:val="00766C3D"/>
    <w:rsid w:val="007A5F32"/>
    <w:rsid w:val="007D1F72"/>
    <w:rsid w:val="007E599C"/>
    <w:rsid w:val="00831E14"/>
    <w:rsid w:val="00847DDF"/>
    <w:rsid w:val="008811B9"/>
    <w:rsid w:val="008A7847"/>
    <w:rsid w:val="008B4B25"/>
    <w:rsid w:val="008E0D7B"/>
    <w:rsid w:val="00925011"/>
    <w:rsid w:val="0093221F"/>
    <w:rsid w:val="00933158"/>
    <w:rsid w:val="009340AA"/>
    <w:rsid w:val="00945D31"/>
    <w:rsid w:val="00956A40"/>
    <w:rsid w:val="0098064F"/>
    <w:rsid w:val="009B209E"/>
    <w:rsid w:val="00A07902"/>
    <w:rsid w:val="00A130F6"/>
    <w:rsid w:val="00A568B6"/>
    <w:rsid w:val="00AA009A"/>
    <w:rsid w:val="00AC6EE9"/>
    <w:rsid w:val="00B253AA"/>
    <w:rsid w:val="00B3189E"/>
    <w:rsid w:val="00B4096C"/>
    <w:rsid w:val="00B62574"/>
    <w:rsid w:val="00B80174"/>
    <w:rsid w:val="00BF599B"/>
    <w:rsid w:val="00C005BC"/>
    <w:rsid w:val="00C2000A"/>
    <w:rsid w:val="00C26341"/>
    <w:rsid w:val="00CC52E7"/>
    <w:rsid w:val="00CC55F5"/>
    <w:rsid w:val="00CD71F9"/>
    <w:rsid w:val="00D13997"/>
    <w:rsid w:val="00D374CD"/>
    <w:rsid w:val="00DC3662"/>
    <w:rsid w:val="00DC3F73"/>
    <w:rsid w:val="00E020EA"/>
    <w:rsid w:val="00E530A2"/>
    <w:rsid w:val="00E767C3"/>
    <w:rsid w:val="00EA06AB"/>
    <w:rsid w:val="00EC43E6"/>
    <w:rsid w:val="00F36D1E"/>
    <w:rsid w:val="00F44CD2"/>
    <w:rsid w:val="00F53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99B"/>
    <w:rPr>
      <w:color w:val="0000FF" w:themeColor="hyperlink"/>
      <w:u w:val="single"/>
    </w:rPr>
  </w:style>
  <w:style w:type="paragraph" w:styleId="Footer">
    <w:name w:val="footer"/>
    <w:basedOn w:val="Normal"/>
    <w:link w:val="FooterChar"/>
    <w:uiPriority w:val="99"/>
    <w:unhideWhenUsed/>
    <w:rsid w:val="009B2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09E"/>
  </w:style>
  <w:style w:type="paragraph" w:styleId="ListParagraph">
    <w:name w:val="List Paragraph"/>
    <w:basedOn w:val="Normal"/>
    <w:uiPriority w:val="34"/>
    <w:qFormat/>
    <w:rsid w:val="009B209E"/>
    <w:pPr>
      <w:ind w:left="720"/>
      <w:contextualSpacing/>
    </w:pPr>
  </w:style>
  <w:style w:type="table" w:styleId="LightList-Accent3">
    <w:name w:val="Light List Accent 3"/>
    <w:basedOn w:val="TableNormal"/>
    <w:uiPriority w:val="61"/>
    <w:rsid w:val="009B20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9B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09E"/>
    <w:rPr>
      <w:rFonts w:ascii="Tahoma" w:hAnsi="Tahoma" w:cs="Tahoma"/>
      <w:sz w:val="16"/>
      <w:szCs w:val="16"/>
    </w:rPr>
  </w:style>
  <w:style w:type="paragraph" w:styleId="Header">
    <w:name w:val="header"/>
    <w:basedOn w:val="Normal"/>
    <w:link w:val="HeaderChar"/>
    <w:uiPriority w:val="99"/>
    <w:unhideWhenUsed/>
    <w:rsid w:val="004B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88B"/>
  </w:style>
  <w:style w:type="table" w:styleId="TableGrid">
    <w:name w:val="Table Grid"/>
    <w:basedOn w:val="TableNormal"/>
    <w:uiPriority w:val="59"/>
    <w:rsid w:val="004B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99B"/>
    <w:rPr>
      <w:color w:val="0000FF" w:themeColor="hyperlink"/>
      <w:u w:val="single"/>
    </w:rPr>
  </w:style>
  <w:style w:type="paragraph" w:styleId="Footer">
    <w:name w:val="footer"/>
    <w:basedOn w:val="Normal"/>
    <w:link w:val="FooterChar"/>
    <w:uiPriority w:val="99"/>
    <w:unhideWhenUsed/>
    <w:rsid w:val="009B2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09E"/>
  </w:style>
  <w:style w:type="paragraph" w:styleId="ListParagraph">
    <w:name w:val="List Paragraph"/>
    <w:basedOn w:val="Normal"/>
    <w:uiPriority w:val="34"/>
    <w:qFormat/>
    <w:rsid w:val="009B209E"/>
    <w:pPr>
      <w:ind w:left="720"/>
      <w:contextualSpacing/>
    </w:pPr>
  </w:style>
  <w:style w:type="table" w:styleId="LightList-Accent3">
    <w:name w:val="Light List Accent 3"/>
    <w:basedOn w:val="TableNormal"/>
    <w:uiPriority w:val="61"/>
    <w:rsid w:val="009B20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9B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09E"/>
    <w:rPr>
      <w:rFonts w:ascii="Tahoma" w:hAnsi="Tahoma" w:cs="Tahoma"/>
      <w:sz w:val="16"/>
      <w:szCs w:val="16"/>
    </w:rPr>
  </w:style>
  <w:style w:type="paragraph" w:styleId="Header">
    <w:name w:val="header"/>
    <w:basedOn w:val="Normal"/>
    <w:link w:val="HeaderChar"/>
    <w:uiPriority w:val="99"/>
    <w:unhideWhenUsed/>
    <w:rsid w:val="004B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88B"/>
  </w:style>
  <w:style w:type="table" w:styleId="TableGrid">
    <w:name w:val="Table Grid"/>
    <w:basedOn w:val="TableNormal"/>
    <w:uiPriority w:val="59"/>
    <w:rsid w:val="004B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hyperlink" Target="http://www.thurrocksab.org.uk" TargetMode="External" Id="rId14" /><Relationship Type="http://schemas.openxmlformats.org/officeDocument/2006/relationships/customXml" Target="/customXML/item3.xml" Id="R9ae82629b88242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00D98310CAD465FB48C3A62E91DFCBC" version="1.0.0">
  <systemFields>
    <field name="Objective-Id">
      <value order="0">A4473707</value>
    </field>
    <field name="Objective-Title">
      <value order="0">FINAL TSAB Annual Report 2017.18</value>
    </field>
    <field name="Objective-Description">
      <value order="0"/>
    </field>
    <field name="Objective-CreationStamp">
      <value order="0">2018-10-24T11:27:58Z</value>
    </field>
    <field name="Objective-IsApproved">
      <value order="0">false</value>
    </field>
    <field name="Objective-IsPublished">
      <value order="0">true</value>
    </field>
    <field name="Objective-DatePublished">
      <value order="0">2018-11-06T09:49:13Z</value>
    </field>
    <field name="Objective-ModificationStamp">
      <value order="0">2018-11-06T09:49:13Z</value>
    </field>
    <field name="Objective-Owner">
      <value order="0">Sinden, Levi</value>
    </field>
    <field name="Objective-Path">
      <value order="0">Thurrock Global Folder:Thurrock Corporate File Plan:Adult care services:Supporting adults:Safeguarding:Annual Reports:Annual Report 2016/17</value>
    </field>
    <field name="Objective-Parent">
      <value order="0">Annual Report 2016/17</value>
    </field>
    <field name="Objective-State">
      <value order="0">Published</value>
    </field>
    <field name="Objective-VersionId">
      <value order="0">vA6418655</value>
    </field>
    <field name="Objective-Version">
      <value order="0">1.0</value>
    </field>
    <field name="Objective-VersionNumber">
      <value order="0">2</value>
    </field>
    <field name="Objective-VersionComment">
      <value order="0"/>
    </field>
    <field name="Objective-FileNumber">
      <value order="0">qA228516</value>
    </field>
    <field name="Objective-Classification">
      <value order="0"/>
    </field>
    <field name="Objective-Caveats">
      <value order="0">Active Users</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35609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Sinden, Levi</dc:creator>
  <cp:lastModifiedBy>Sinden, Levi</cp:lastModifiedBy>
  <cp:revision>18</cp:revision>
  <dcterms:created xsi:type="dcterms:W3CDTF">2018-10-15T10:24:00Z</dcterms:created>
  <dcterms:modified xsi:type="dcterms:W3CDTF">2018-10-23T09:10:00Z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A4473707</vt:lpwstr>
  </property>
  <property fmtid="{D5CDD505-2E9C-101B-9397-08002B2CF9AE}" pid="4" name="Objective-Title">
    <vt:lpwstr>FINAL TSAB Annual Report 2017.18</vt:lpwstr>
  </property>
  <property fmtid="{D5CDD505-2E9C-101B-9397-08002B2CF9AE}" pid="5" name="Objective-Description">
    <vt:lpwstr/>
  </property>
  <property fmtid="{D5CDD505-2E9C-101B-9397-08002B2CF9AE}" pid="6" name="Objective-CreationStamp">
    <vt:filetime>2018-10-24T11:28:16Z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2018-11-06T09:49:13Z</vt:filetime>
  </property>
  <property fmtid="{D5CDD505-2E9C-101B-9397-08002B2CF9AE}" pid="10" name="Objective-ModificationStamp">
    <vt:filetime>2018-11-06T09:49:13Z</vt:filetime>
  </property>
  <property fmtid="{D5CDD505-2E9C-101B-9397-08002B2CF9AE}" pid="11" name="Objective-Owner">
    <vt:lpwstr>Sinden, Levi</vt:lpwstr>
  </property>
  <property fmtid="{D5CDD505-2E9C-101B-9397-08002B2CF9AE}" pid="12" name="Objective-Path">
    <vt:lpwstr>Thurrock Global Folder:Thurrock Corporate File Plan:Adult care services:Supporting adults:Safeguarding:Annual Reports:Annual Report 2016/17:</vt:lpwstr>
  </property>
  <property fmtid="{D5CDD505-2E9C-101B-9397-08002B2CF9AE}" pid="13" name="Objective-Parent">
    <vt:lpwstr>Annual Report 2016/17</vt:lpwstr>
  </property>
  <property fmtid="{D5CDD505-2E9C-101B-9397-08002B2CF9AE}" pid="14" name="Objective-State">
    <vt:lpwstr>Published</vt:lpwstr>
  </property>
  <property fmtid="{D5CDD505-2E9C-101B-9397-08002B2CF9AE}" pid="15" name="Objective-VersionId">
    <vt:lpwstr>vA6418655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qA228516</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