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8043" w14:textId="654E0C1E" w:rsidR="00466F81" w:rsidRPr="00C23950" w:rsidRDefault="00E74E56" w:rsidP="00C23950">
      <w:pPr>
        <w:pStyle w:val="Heading1"/>
        <w:rPr>
          <w:rFonts w:ascii="Arial" w:hAnsi="Arial" w:cs="Arial"/>
          <w:b/>
          <w:bCs/>
          <w:u w:val="single"/>
        </w:rPr>
      </w:pPr>
      <w:bookmarkStart w:id="0" w:name="_GoBack"/>
      <w:bookmarkEnd w:id="0"/>
      <w:r w:rsidRPr="00C23950">
        <w:rPr>
          <w:rFonts w:ascii="Arial" w:hAnsi="Arial" w:cs="Arial"/>
          <w:b/>
          <w:bCs/>
          <w:u w:val="single"/>
        </w:rPr>
        <w:t>Partner briefing</w:t>
      </w:r>
    </w:p>
    <w:p w14:paraId="766B72C9" w14:textId="77777777" w:rsidR="00466F81" w:rsidRDefault="00466F81" w:rsidP="00466F81">
      <w:pPr>
        <w:rPr>
          <w:rFonts w:ascii="Arial" w:hAnsi="Arial" w:cs="Arial"/>
          <w:b/>
          <w:bCs/>
          <w:sz w:val="24"/>
          <w:szCs w:val="24"/>
        </w:rPr>
      </w:pPr>
    </w:p>
    <w:p w14:paraId="131F912B" w14:textId="77777777" w:rsidR="00466F81" w:rsidRPr="00400BE1" w:rsidRDefault="00466F81" w:rsidP="00466F81">
      <w:pPr>
        <w:rPr>
          <w:rFonts w:ascii="Arial" w:hAnsi="Arial" w:cs="Arial"/>
          <w:b/>
          <w:bCs/>
          <w:sz w:val="24"/>
          <w:szCs w:val="24"/>
        </w:rPr>
      </w:pPr>
      <w:r w:rsidRPr="00400BE1">
        <w:rPr>
          <w:rFonts w:ascii="Arial" w:hAnsi="Arial" w:cs="Arial"/>
          <w:b/>
          <w:bCs/>
          <w:sz w:val="24"/>
          <w:szCs w:val="24"/>
        </w:rPr>
        <w:t>Learning from Reviews</w:t>
      </w:r>
      <w:r>
        <w:rPr>
          <w:rFonts w:ascii="Arial" w:hAnsi="Arial" w:cs="Arial"/>
          <w:b/>
          <w:bCs/>
          <w:sz w:val="24"/>
          <w:szCs w:val="24"/>
        </w:rPr>
        <w:t xml:space="preserve"> across Southend, Essex and Thurrock</w:t>
      </w:r>
    </w:p>
    <w:p w14:paraId="499817E9" w14:textId="6ABB7599" w:rsidR="00466F81" w:rsidRPr="00581C40" w:rsidRDefault="00466F81" w:rsidP="00466F81">
      <w:pPr>
        <w:rPr>
          <w:rFonts w:ascii="Arial" w:hAnsi="Arial" w:cs="Arial"/>
          <w:sz w:val="24"/>
          <w:szCs w:val="24"/>
        </w:rPr>
      </w:pPr>
      <w:r>
        <w:rPr>
          <w:rFonts w:ascii="Arial" w:hAnsi="Arial" w:cs="Arial"/>
          <w:sz w:val="24"/>
          <w:szCs w:val="24"/>
        </w:rPr>
        <w:t>The Safeguarding and Domestic Abuse Board</w:t>
      </w:r>
      <w:r w:rsidR="00DD68B8">
        <w:rPr>
          <w:rFonts w:ascii="Arial" w:hAnsi="Arial" w:cs="Arial"/>
          <w:sz w:val="24"/>
          <w:szCs w:val="24"/>
        </w:rPr>
        <w:t>s</w:t>
      </w:r>
      <w:r>
        <w:rPr>
          <w:rFonts w:ascii="Arial" w:hAnsi="Arial" w:cs="Arial"/>
          <w:sz w:val="24"/>
          <w:szCs w:val="24"/>
        </w:rPr>
        <w:t xml:space="preserve"> have noticed a common theme appearing in multiple </w:t>
      </w:r>
      <w:r w:rsidRPr="00E95008">
        <w:rPr>
          <w:rFonts w:ascii="Arial" w:hAnsi="Arial" w:cs="Arial"/>
          <w:sz w:val="24"/>
          <w:szCs w:val="24"/>
        </w:rPr>
        <w:t xml:space="preserve">reviews (Child Safeguarding Practice Reviews, Safeguarding Adult Reviews and Domestic Homicide Reviews) </w:t>
      </w:r>
      <w:r>
        <w:rPr>
          <w:rFonts w:ascii="Arial" w:hAnsi="Arial" w:cs="Arial"/>
          <w:sz w:val="24"/>
          <w:szCs w:val="24"/>
        </w:rPr>
        <w:t xml:space="preserve">across both the children and adult sectors, and that is the concept of ‘Think Family’. </w:t>
      </w:r>
    </w:p>
    <w:p w14:paraId="6ADA1118" w14:textId="77777777" w:rsidR="00466F81" w:rsidRPr="0065720F" w:rsidRDefault="00466F81" w:rsidP="00466F81">
      <w:pPr>
        <w:rPr>
          <w:rFonts w:ascii="Arial" w:hAnsi="Arial" w:cs="Arial"/>
          <w:b/>
          <w:bCs/>
          <w:sz w:val="24"/>
          <w:szCs w:val="24"/>
        </w:rPr>
      </w:pPr>
      <w:r w:rsidRPr="0065720F">
        <w:rPr>
          <w:rFonts w:ascii="Arial" w:hAnsi="Arial" w:cs="Arial"/>
          <w:b/>
          <w:bCs/>
          <w:sz w:val="24"/>
          <w:szCs w:val="24"/>
        </w:rPr>
        <w:t>Think Family</w:t>
      </w:r>
    </w:p>
    <w:p w14:paraId="77E0D825" w14:textId="51660CAC" w:rsidR="00D93C15" w:rsidRDefault="00466F81" w:rsidP="00EE1470">
      <w:pPr>
        <w:rPr>
          <w:rFonts w:ascii="Arial" w:hAnsi="Arial" w:cs="Arial"/>
          <w:sz w:val="24"/>
          <w:szCs w:val="24"/>
        </w:rPr>
      </w:pPr>
      <w:r w:rsidRPr="003D7000">
        <w:rPr>
          <w:rFonts w:ascii="Arial" w:hAnsi="Arial" w:cs="Arial"/>
          <w:sz w:val="24"/>
          <w:szCs w:val="24"/>
        </w:rPr>
        <w:t>Think Family means securing better outcomes for adults, children and families by coordinating the support and delivery of services from all organisations</w:t>
      </w:r>
      <w:r w:rsidR="00B4609B">
        <w:rPr>
          <w:rFonts w:ascii="Arial" w:hAnsi="Arial" w:cs="Arial"/>
          <w:sz w:val="24"/>
          <w:szCs w:val="24"/>
        </w:rPr>
        <w:t xml:space="preserve">. </w:t>
      </w:r>
      <w:r>
        <w:rPr>
          <w:rFonts w:ascii="Arial" w:hAnsi="Arial" w:cs="Arial"/>
          <w:sz w:val="24"/>
          <w:szCs w:val="24"/>
        </w:rPr>
        <w:t>When an individual first has c</w:t>
      </w:r>
      <w:r w:rsidRPr="003D7000">
        <w:rPr>
          <w:rFonts w:ascii="Arial" w:hAnsi="Arial" w:cs="Arial"/>
          <w:sz w:val="24"/>
          <w:szCs w:val="24"/>
        </w:rPr>
        <w:t>ontact with any service</w:t>
      </w:r>
      <w:r>
        <w:rPr>
          <w:rFonts w:ascii="Arial" w:hAnsi="Arial" w:cs="Arial"/>
          <w:sz w:val="24"/>
          <w:szCs w:val="24"/>
        </w:rPr>
        <w:t xml:space="preserve"> they should receive a welcome</w:t>
      </w:r>
      <w:r w:rsidRPr="003D7000">
        <w:rPr>
          <w:rFonts w:ascii="Arial" w:hAnsi="Arial" w:cs="Arial"/>
          <w:sz w:val="24"/>
          <w:szCs w:val="24"/>
        </w:rPr>
        <w:t xml:space="preserve"> into a system of joined-up support and safeguarding together with coordination between adult and children's service</w:t>
      </w:r>
      <w:r>
        <w:rPr>
          <w:rFonts w:ascii="Arial" w:hAnsi="Arial" w:cs="Arial"/>
          <w:sz w:val="24"/>
          <w:szCs w:val="24"/>
        </w:rPr>
        <w:t>s. In order to achieve this, s</w:t>
      </w:r>
      <w:r w:rsidRPr="003D7000">
        <w:rPr>
          <w:rFonts w:ascii="Arial" w:hAnsi="Arial" w:cs="Arial"/>
          <w:sz w:val="24"/>
          <w:szCs w:val="24"/>
        </w:rPr>
        <w:t xml:space="preserve">ervices </w:t>
      </w:r>
      <w:r w:rsidR="00EE1470">
        <w:rPr>
          <w:rFonts w:ascii="Arial" w:hAnsi="Arial" w:cs="Arial"/>
          <w:sz w:val="24"/>
          <w:szCs w:val="24"/>
        </w:rPr>
        <w:t>must think about</w:t>
      </w:r>
      <w:r w:rsidR="00D93C15">
        <w:rPr>
          <w:rFonts w:ascii="Arial" w:hAnsi="Arial" w:cs="Arial"/>
          <w:sz w:val="24"/>
          <w:szCs w:val="24"/>
        </w:rPr>
        <w:t>:</w:t>
      </w:r>
    </w:p>
    <w:p w14:paraId="1A5F4039" w14:textId="36615B7C" w:rsidR="00466F81" w:rsidRDefault="00D93C15" w:rsidP="00466F81">
      <w:pPr>
        <w:rPr>
          <w:rFonts w:ascii="Arial" w:hAnsi="Arial" w:cs="Arial"/>
          <w:sz w:val="24"/>
          <w:szCs w:val="24"/>
        </w:rPr>
      </w:pPr>
      <w:r w:rsidRPr="00095C1B">
        <w:rPr>
          <w:rFonts w:ascii="Arial" w:hAnsi="Arial" w:cs="Arial"/>
          <w:sz w:val="24"/>
          <w:szCs w:val="24"/>
          <w:u w:val="single"/>
        </w:rPr>
        <w:t>The family network</w:t>
      </w:r>
      <w:r>
        <w:rPr>
          <w:rFonts w:ascii="Arial" w:hAnsi="Arial" w:cs="Arial"/>
          <w:sz w:val="24"/>
          <w:szCs w:val="24"/>
        </w:rPr>
        <w:t xml:space="preserve"> - </w:t>
      </w:r>
      <w:r w:rsidR="00466F81">
        <w:rPr>
          <w:rFonts w:ascii="Arial" w:hAnsi="Arial" w:cs="Arial"/>
          <w:sz w:val="24"/>
          <w:szCs w:val="24"/>
        </w:rPr>
        <w:t>learning who is involved in an individual’s everyday life and working out the links between the different people, using genograms for example, bearing in mind there may be influential people in the family circle who don’t visit regularly (if they live abroad for example).</w:t>
      </w:r>
    </w:p>
    <w:p w14:paraId="0F76D55C" w14:textId="41FBC52D" w:rsidR="00466F81" w:rsidRPr="00EE1470" w:rsidRDefault="00466F81" w:rsidP="00EE1470">
      <w:pPr>
        <w:rPr>
          <w:rFonts w:ascii="Arial" w:hAnsi="Arial"/>
          <w:sz w:val="24"/>
        </w:rPr>
      </w:pPr>
      <w:r w:rsidRPr="00095C1B">
        <w:rPr>
          <w:rFonts w:ascii="Arial" w:hAnsi="Arial"/>
          <w:sz w:val="24"/>
          <w:u w:val="single"/>
        </w:rPr>
        <w:lastRenderedPageBreak/>
        <w:t>Cross-generational issues</w:t>
      </w:r>
      <w:r w:rsidR="00D93C15" w:rsidRPr="005B324D">
        <w:rPr>
          <w:rFonts w:ascii="Arial" w:hAnsi="Arial"/>
          <w:sz w:val="24"/>
        </w:rPr>
        <w:t xml:space="preserve"> -</w:t>
      </w:r>
      <w:r w:rsidR="00D93C15">
        <w:rPr>
          <w:rFonts w:ascii="Arial" w:hAnsi="Arial"/>
          <w:b/>
          <w:bCs/>
          <w:sz w:val="24"/>
        </w:rPr>
        <w:t xml:space="preserve"> </w:t>
      </w:r>
      <w:r>
        <w:rPr>
          <w:rFonts w:ascii="Arial" w:hAnsi="Arial"/>
          <w:sz w:val="24"/>
        </w:rPr>
        <w:t>including</w:t>
      </w:r>
      <w:r w:rsidRPr="00532D8E">
        <w:rPr>
          <w:rFonts w:ascii="Arial" w:hAnsi="Arial"/>
          <w:sz w:val="24"/>
        </w:rPr>
        <w:t xml:space="preserve"> where family relationships and dynamics have been </w:t>
      </w:r>
      <w:r>
        <w:rPr>
          <w:rFonts w:ascii="Arial" w:hAnsi="Arial"/>
          <w:sz w:val="24"/>
        </w:rPr>
        <w:t>factors</w:t>
      </w:r>
      <w:r w:rsidR="00D93C15">
        <w:rPr>
          <w:rFonts w:ascii="Arial" w:hAnsi="Arial"/>
          <w:sz w:val="24"/>
        </w:rPr>
        <w:t xml:space="preserve">, such as </w:t>
      </w:r>
      <w:r>
        <w:rPr>
          <w:rFonts w:ascii="Arial" w:hAnsi="Arial"/>
          <w:sz w:val="24"/>
        </w:rPr>
        <w:t>where dementia has changed the family dynamics</w:t>
      </w:r>
      <w:r w:rsidRPr="00D5798F">
        <w:rPr>
          <w:rFonts w:ascii="Arial" w:hAnsi="Arial"/>
          <w:sz w:val="24"/>
        </w:rPr>
        <w:t xml:space="preserve"> </w:t>
      </w:r>
      <w:r w:rsidR="005B324D">
        <w:rPr>
          <w:rFonts w:ascii="Arial" w:hAnsi="Arial"/>
          <w:sz w:val="24"/>
        </w:rPr>
        <w:t>or when a</w:t>
      </w:r>
      <w:r>
        <w:rPr>
          <w:rFonts w:ascii="Arial" w:hAnsi="Arial"/>
          <w:sz w:val="24"/>
        </w:rPr>
        <w:t>ging p</w:t>
      </w:r>
      <w:r w:rsidRPr="00D5798F">
        <w:rPr>
          <w:rFonts w:ascii="Arial" w:hAnsi="Arial"/>
          <w:sz w:val="24"/>
        </w:rPr>
        <w:t xml:space="preserve">arents </w:t>
      </w:r>
      <w:r w:rsidR="005B324D">
        <w:rPr>
          <w:rFonts w:ascii="Arial" w:hAnsi="Arial"/>
          <w:sz w:val="24"/>
        </w:rPr>
        <w:t xml:space="preserve">are </w:t>
      </w:r>
      <w:r w:rsidRPr="00D5798F">
        <w:rPr>
          <w:rFonts w:ascii="Arial" w:hAnsi="Arial"/>
          <w:sz w:val="24"/>
        </w:rPr>
        <w:t xml:space="preserve">unable to continue </w:t>
      </w:r>
      <w:r w:rsidR="005B324D">
        <w:rPr>
          <w:rFonts w:ascii="Arial" w:hAnsi="Arial"/>
          <w:sz w:val="24"/>
        </w:rPr>
        <w:t>caring</w:t>
      </w:r>
      <w:r w:rsidRPr="00D5798F">
        <w:rPr>
          <w:rFonts w:ascii="Arial" w:hAnsi="Arial"/>
          <w:sz w:val="24"/>
        </w:rPr>
        <w:t xml:space="preserve"> for their </w:t>
      </w:r>
      <w:r>
        <w:rPr>
          <w:rFonts w:ascii="Arial" w:hAnsi="Arial"/>
          <w:sz w:val="24"/>
        </w:rPr>
        <w:t>vulnerable adult children</w:t>
      </w:r>
      <w:r w:rsidR="005B324D">
        <w:rPr>
          <w:rFonts w:ascii="Arial" w:hAnsi="Arial"/>
          <w:sz w:val="24"/>
        </w:rPr>
        <w:t>.</w:t>
      </w:r>
    </w:p>
    <w:p w14:paraId="0BB19AB6" w14:textId="633E8FA8" w:rsidR="00466F81" w:rsidRDefault="00466F81" w:rsidP="00396908">
      <w:pPr>
        <w:spacing w:after="0"/>
        <w:rPr>
          <w:rFonts w:ascii="Arial" w:hAnsi="Arial" w:cs="Arial"/>
          <w:sz w:val="24"/>
          <w:szCs w:val="24"/>
        </w:rPr>
      </w:pPr>
      <w:r w:rsidRPr="00095C1B">
        <w:rPr>
          <w:rFonts w:ascii="Arial" w:hAnsi="Arial"/>
          <w:sz w:val="24"/>
          <w:u w:val="single"/>
        </w:rPr>
        <w:t>Best practice</w:t>
      </w:r>
      <w:r w:rsidR="005B324D">
        <w:rPr>
          <w:rFonts w:ascii="Arial" w:hAnsi="Arial"/>
          <w:b/>
          <w:bCs/>
          <w:sz w:val="24"/>
        </w:rPr>
        <w:t xml:space="preserve"> </w:t>
      </w:r>
      <w:r w:rsidR="00396908" w:rsidRPr="00095C1B">
        <w:rPr>
          <w:rFonts w:ascii="Arial" w:hAnsi="Arial"/>
          <w:sz w:val="24"/>
        </w:rPr>
        <w:t>–</w:t>
      </w:r>
      <w:r w:rsidR="005B324D" w:rsidRPr="00095C1B">
        <w:rPr>
          <w:rFonts w:ascii="Arial" w:hAnsi="Arial"/>
          <w:sz w:val="24"/>
        </w:rPr>
        <w:t xml:space="preserve"> </w:t>
      </w:r>
      <w:r w:rsidR="00396908" w:rsidRPr="00095C1B">
        <w:rPr>
          <w:rFonts w:ascii="Arial" w:hAnsi="Arial"/>
          <w:sz w:val="24"/>
        </w:rPr>
        <w:t>such as ensuring there is</w:t>
      </w:r>
      <w:r w:rsidR="00396908">
        <w:rPr>
          <w:rFonts w:ascii="Arial" w:hAnsi="Arial"/>
          <w:b/>
          <w:bCs/>
          <w:sz w:val="24"/>
        </w:rPr>
        <w:t xml:space="preserve"> </w:t>
      </w:r>
      <w:r>
        <w:rPr>
          <w:rFonts w:ascii="Arial" w:hAnsi="Arial" w:cs="Arial"/>
          <w:sz w:val="24"/>
          <w:szCs w:val="24"/>
        </w:rPr>
        <w:t>an identified lead professional who co-ordinates the agencies involved especially where there are complex needs</w:t>
      </w:r>
      <w:r w:rsidR="00396908">
        <w:rPr>
          <w:rFonts w:ascii="Arial" w:hAnsi="Arial" w:cs="Arial"/>
          <w:sz w:val="24"/>
          <w:szCs w:val="24"/>
        </w:rPr>
        <w:t xml:space="preserve"> and h</w:t>
      </w:r>
      <w:r w:rsidRPr="00396908">
        <w:rPr>
          <w:rFonts w:ascii="Arial" w:hAnsi="Arial" w:cs="Arial"/>
          <w:sz w:val="24"/>
          <w:szCs w:val="24"/>
        </w:rPr>
        <w:t>av</w:t>
      </w:r>
      <w:r w:rsidR="00396908">
        <w:rPr>
          <w:rFonts w:ascii="Arial" w:hAnsi="Arial" w:cs="Arial"/>
          <w:sz w:val="24"/>
          <w:szCs w:val="24"/>
        </w:rPr>
        <w:t>ing</w:t>
      </w:r>
      <w:r w:rsidRPr="00396908">
        <w:rPr>
          <w:rFonts w:ascii="Arial" w:hAnsi="Arial" w:cs="Arial"/>
          <w:sz w:val="24"/>
          <w:szCs w:val="24"/>
        </w:rPr>
        <w:t xml:space="preserve"> open and honest communication with the person you are working with and listen to the family</w:t>
      </w:r>
      <w:r w:rsidR="00095C1B">
        <w:rPr>
          <w:rFonts w:ascii="Arial" w:hAnsi="Arial" w:cs="Arial"/>
          <w:sz w:val="24"/>
          <w:szCs w:val="24"/>
        </w:rPr>
        <w:t>.</w:t>
      </w:r>
    </w:p>
    <w:p w14:paraId="721A064E" w14:textId="6B70DC37" w:rsidR="00095C1B" w:rsidRDefault="00095C1B" w:rsidP="00396908">
      <w:pPr>
        <w:spacing w:after="0"/>
        <w:rPr>
          <w:rFonts w:ascii="Arial" w:hAnsi="Arial" w:cs="Arial"/>
          <w:sz w:val="24"/>
          <w:szCs w:val="24"/>
        </w:rPr>
      </w:pPr>
    </w:p>
    <w:p w14:paraId="31BC4729" w14:textId="1F02CA09" w:rsidR="00C23950" w:rsidRDefault="00C23950" w:rsidP="00C23950">
      <w:pPr>
        <w:spacing w:after="0"/>
        <w:rPr>
          <w:rFonts w:ascii="Arial" w:hAnsi="Arial" w:cs="Arial"/>
          <w:b/>
          <w:bCs/>
          <w:sz w:val="24"/>
          <w:szCs w:val="24"/>
        </w:rPr>
      </w:pPr>
      <w:r w:rsidRPr="00C23950">
        <w:rPr>
          <w:rFonts w:ascii="Arial" w:hAnsi="Arial" w:cs="Arial"/>
          <w:b/>
          <w:bCs/>
          <w:sz w:val="24"/>
          <w:szCs w:val="24"/>
        </w:rPr>
        <w:t>Resources</w:t>
      </w:r>
    </w:p>
    <w:p w14:paraId="490D8274" w14:textId="77777777" w:rsidR="00C23950" w:rsidRPr="00C23950" w:rsidRDefault="00C23950" w:rsidP="00C23950">
      <w:pPr>
        <w:spacing w:after="0"/>
        <w:rPr>
          <w:rFonts w:ascii="Arial" w:hAnsi="Arial" w:cs="Arial"/>
          <w:b/>
          <w:bCs/>
          <w:sz w:val="24"/>
          <w:szCs w:val="24"/>
        </w:rPr>
      </w:pPr>
    </w:p>
    <w:p w14:paraId="23207711" w14:textId="27CACC69" w:rsidR="00466F81" w:rsidRDefault="00466F81" w:rsidP="00C23950">
      <w:pPr>
        <w:spacing w:after="0"/>
        <w:rPr>
          <w:rFonts w:ascii="Arial" w:hAnsi="Arial" w:cs="Arial"/>
          <w:sz w:val="24"/>
          <w:szCs w:val="24"/>
        </w:rPr>
      </w:pPr>
      <w:r w:rsidRPr="00E62147">
        <w:rPr>
          <w:rFonts w:ascii="Arial" w:hAnsi="Arial" w:cs="Arial"/>
          <w:sz w:val="24"/>
          <w:szCs w:val="24"/>
        </w:rPr>
        <w:t xml:space="preserve">To </w:t>
      </w:r>
      <w:r>
        <w:rPr>
          <w:rFonts w:ascii="Arial" w:hAnsi="Arial" w:cs="Arial"/>
          <w:sz w:val="24"/>
          <w:szCs w:val="24"/>
        </w:rPr>
        <w:t xml:space="preserve">better </w:t>
      </w:r>
      <w:r w:rsidRPr="00E62147">
        <w:rPr>
          <w:rFonts w:ascii="Arial" w:hAnsi="Arial" w:cs="Arial"/>
          <w:sz w:val="24"/>
          <w:szCs w:val="24"/>
        </w:rPr>
        <w:t xml:space="preserve">understand the concept of </w:t>
      </w:r>
      <w:r>
        <w:rPr>
          <w:rFonts w:ascii="Arial" w:hAnsi="Arial" w:cs="Arial"/>
          <w:sz w:val="24"/>
          <w:szCs w:val="24"/>
        </w:rPr>
        <w:t>T</w:t>
      </w:r>
      <w:r w:rsidRPr="00E62147">
        <w:rPr>
          <w:rFonts w:ascii="Arial" w:hAnsi="Arial" w:cs="Arial"/>
          <w:sz w:val="24"/>
          <w:szCs w:val="24"/>
        </w:rPr>
        <w:t xml:space="preserve">hink </w:t>
      </w:r>
      <w:r>
        <w:rPr>
          <w:rFonts w:ascii="Arial" w:hAnsi="Arial" w:cs="Arial"/>
          <w:sz w:val="24"/>
          <w:szCs w:val="24"/>
        </w:rPr>
        <w:t>F</w:t>
      </w:r>
      <w:r w:rsidRPr="00E62147">
        <w:rPr>
          <w:rFonts w:ascii="Arial" w:hAnsi="Arial" w:cs="Arial"/>
          <w:sz w:val="24"/>
          <w:szCs w:val="24"/>
        </w:rPr>
        <w:t>amily we have created a suite of resources which can be used individually or in team meetings/development sessions to</w:t>
      </w:r>
      <w:r>
        <w:rPr>
          <w:rFonts w:ascii="Arial" w:hAnsi="Arial" w:cs="Arial"/>
          <w:b/>
          <w:bCs/>
          <w:sz w:val="24"/>
          <w:szCs w:val="24"/>
        </w:rPr>
        <w:t xml:space="preserve"> </w:t>
      </w:r>
      <w:r w:rsidRPr="00E62147">
        <w:rPr>
          <w:rFonts w:ascii="Arial" w:hAnsi="Arial" w:cs="Arial"/>
          <w:sz w:val="24"/>
          <w:szCs w:val="24"/>
        </w:rPr>
        <w:t>enhance the work you do and the outcomes for the people you work with</w:t>
      </w:r>
      <w:r>
        <w:rPr>
          <w:rFonts w:ascii="Arial" w:hAnsi="Arial" w:cs="Arial"/>
          <w:sz w:val="24"/>
          <w:szCs w:val="24"/>
        </w:rPr>
        <w:t>.</w:t>
      </w:r>
    </w:p>
    <w:p w14:paraId="2F847D46" w14:textId="77777777" w:rsidR="00466F81" w:rsidRPr="000C07DA" w:rsidRDefault="00466F81" w:rsidP="00466F81">
      <w:pPr>
        <w:pStyle w:val="CommentText"/>
      </w:pPr>
    </w:p>
    <w:p w14:paraId="1403F80A" w14:textId="06A3B82E" w:rsidR="00466F81" w:rsidRPr="00C23950" w:rsidRDefault="00D87CF6" w:rsidP="00C23950">
      <w:pPr>
        <w:pStyle w:val="ListParagraph"/>
        <w:numPr>
          <w:ilvl w:val="0"/>
          <w:numId w:val="5"/>
        </w:numPr>
        <w:rPr>
          <w:rFonts w:ascii="Arial" w:hAnsi="Arial" w:cs="Arial"/>
          <w:sz w:val="24"/>
          <w:szCs w:val="24"/>
        </w:rPr>
      </w:pPr>
      <w:hyperlink r:id="rId10" w:history="1">
        <w:r w:rsidR="00466F81" w:rsidRPr="00C72575">
          <w:rPr>
            <w:rStyle w:val="Hyperlink"/>
            <w:rFonts w:ascii="Arial" w:hAnsi="Arial" w:cs="Arial"/>
            <w:sz w:val="24"/>
            <w:szCs w:val="24"/>
          </w:rPr>
          <w:t>Podcast</w:t>
        </w:r>
      </w:hyperlink>
      <w:r w:rsidR="00466F81" w:rsidRPr="00C23950">
        <w:rPr>
          <w:rFonts w:ascii="Arial" w:hAnsi="Arial" w:cs="Arial"/>
          <w:sz w:val="24"/>
          <w:szCs w:val="24"/>
        </w:rPr>
        <w:t xml:space="preserve"> </w:t>
      </w:r>
    </w:p>
    <w:p w14:paraId="774F4A48" w14:textId="21639E06" w:rsidR="00466F81" w:rsidRPr="00C23950" w:rsidRDefault="00D87CF6" w:rsidP="00C23950">
      <w:pPr>
        <w:pStyle w:val="ListParagraph"/>
        <w:numPr>
          <w:ilvl w:val="0"/>
          <w:numId w:val="5"/>
        </w:numPr>
        <w:rPr>
          <w:rFonts w:ascii="Arial" w:hAnsi="Arial" w:cs="Arial"/>
          <w:sz w:val="24"/>
          <w:szCs w:val="24"/>
        </w:rPr>
      </w:pPr>
      <w:hyperlink r:id="rId11" w:history="1">
        <w:r w:rsidR="00466F81" w:rsidRPr="008C56D8">
          <w:rPr>
            <w:rStyle w:val="Hyperlink"/>
            <w:rFonts w:ascii="Arial" w:hAnsi="Arial" w:cs="Arial"/>
            <w:sz w:val="24"/>
            <w:szCs w:val="24"/>
          </w:rPr>
          <w:t>Podcast transcript</w:t>
        </w:r>
      </w:hyperlink>
    </w:p>
    <w:p w14:paraId="5BD9B59E" w14:textId="24BFE40A" w:rsidR="00DB5CCF" w:rsidRPr="00DB5CCF" w:rsidRDefault="00D87CF6" w:rsidP="00DB5CCF">
      <w:pPr>
        <w:pStyle w:val="ListParagraph"/>
        <w:numPr>
          <w:ilvl w:val="0"/>
          <w:numId w:val="5"/>
        </w:numPr>
        <w:rPr>
          <w:rFonts w:ascii="Arial" w:hAnsi="Arial" w:cs="Arial"/>
          <w:sz w:val="24"/>
          <w:szCs w:val="24"/>
        </w:rPr>
      </w:pPr>
      <w:hyperlink r:id="rId12" w:history="1">
        <w:r w:rsidR="00E74E56" w:rsidRPr="00F07FF8">
          <w:rPr>
            <w:rStyle w:val="Hyperlink"/>
            <w:rFonts w:ascii="Arial" w:hAnsi="Arial" w:cs="Arial"/>
            <w:sz w:val="24"/>
            <w:szCs w:val="24"/>
          </w:rPr>
          <w:t>Video</w:t>
        </w:r>
      </w:hyperlink>
    </w:p>
    <w:p w14:paraId="1BF1AA7F" w14:textId="77777777" w:rsidR="00DB5CCF" w:rsidRDefault="00DB5CCF" w:rsidP="00DB5CCF">
      <w:pPr>
        <w:rPr>
          <w:rFonts w:ascii="Arial" w:hAnsi="Arial" w:cs="Arial"/>
          <w:sz w:val="24"/>
          <w:szCs w:val="24"/>
        </w:rPr>
      </w:pPr>
    </w:p>
    <w:p w14:paraId="0E20525D" w14:textId="43A383FA" w:rsidR="00466F81" w:rsidRDefault="00DB5CCF" w:rsidP="00466F81">
      <w:pPr>
        <w:rPr>
          <w:rFonts w:ascii="Arial" w:hAnsi="Arial" w:cs="Arial"/>
          <w:sz w:val="24"/>
          <w:szCs w:val="24"/>
        </w:rPr>
      </w:pPr>
      <w:r>
        <w:rPr>
          <w:rFonts w:ascii="Arial" w:hAnsi="Arial" w:cs="Arial"/>
          <w:sz w:val="24"/>
          <w:szCs w:val="24"/>
        </w:rPr>
        <w:t xml:space="preserve">For more information please visit the </w:t>
      </w:r>
      <w:hyperlink r:id="rId13" w:history="1">
        <w:r w:rsidRPr="00604044">
          <w:rPr>
            <w:rStyle w:val="Hyperlink"/>
            <w:rFonts w:ascii="Arial" w:hAnsi="Arial" w:cs="Arial"/>
            <w:sz w:val="24"/>
            <w:szCs w:val="24"/>
          </w:rPr>
          <w:t>Essex Safeguarding Children Board website</w:t>
        </w:r>
      </w:hyperlink>
      <w:r>
        <w:rPr>
          <w:rFonts w:ascii="Arial" w:hAnsi="Arial" w:cs="Arial"/>
          <w:sz w:val="24"/>
          <w:szCs w:val="24"/>
        </w:rPr>
        <w:t xml:space="preserve">. </w:t>
      </w:r>
    </w:p>
    <w:p w14:paraId="6D9B984B" w14:textId="7294FD5F" w:rsidR="00466F81" w:rsidRDefault="00C23950" w:rsidP="00C23950">
      <w:pPr>
        <w:jc w:val="right"/>
        <w:rPr>
          <w:rFonts w:ascii="Arial" w:hAnsi="Arial" w:cs="Arial"/>
          <w:sz w:val="24"/>
          <w:szCs w:val="24"/>
        </w:rPr>
      </w:pPr>
      <w:r>
        <w:rPr>
          <w:noProof/>
          <w:lang w:eastAsia="en-GB"/>
        </w:rPr>
        <w:lastRenderedPageBreak/>
        <w:drawing>
          <wp:anchor distT="0" distB="0" distL="114300" distR="114300" simplePos="0" relativeHeight="251658240" behindDoc="1" locked="0" layoutInCell="1" allowOverlap="1" wp14:anchorId="308F6EAA" wp14:editId="58C907F7">
            <wp:simplePos x="0" y="0"/>
            <wp:positionH relativeFrom="margin">
              <wp:align>center</wp:align>
            </wp:positionH>
            <wp:positionV relativeFrom="paragraph">
              <wp:posOffset>71755</wp:posOffset>
            </wp:positionV>
            <wp:extent cx="3143250" cy="1398746"/>
            <wp:effectExtent l="0" t="0" r="0" b="0"/>
            <wp:wrapTight wrapText="bothSides">
              <wp:wrapPolygon edited="0">
                <wp:start x="3927" y="0"/>
                <wp:lineTo x="3927" y="4708"/>
                <wp:lineTo x="0" y="4708"/>
                <wp:lineTo x="0" y="12654"/>
                <wp:lineTo x="6676" y="14125"/>
                <wp:lineTo x="2880" y="14125"/>
                <wp:lineTo x="2225" y="14714"/>
                <wp:lineTo x="2225" y="21188"/>
                <wp:lineTo x="11520" y="21188"/>
                <wp:lineTo x="17280" y="21188"/>
                <wp:lineTo x="17280" y="14125"/>
                <wp:lineTo x="21469" y="11477"/>
                <wp:lineTo x="21469" y="9123"/>
                <wp:lineTo x="20029" y="3826"/>
                <wp:lineTo x="19113" y="2060"/>
                <wp:lineTo x="17149" y="0"/>
                <wp:lineTo x="39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0" cy="1398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E190D" w14:textId="248D1EC9" w:rsidR="00483FB6" w:rsidRDefault="00D87CF6"/>
    <w:sectPr w:rsidR="00483FB6" w:rsidSect="00C2395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62FB7" w14:textId="77777777" w:rsidR="00AF082C" w:rsidRDefault="00AF082C" w:rsidP="00466F81">
      <w:pPr>
        <w:spacing w:after="0" w:line="240" w:lineRule="auto"/>
      </w:pPr>
      <w:r>
        <w:separator/>
      </w:r>
    </w:p>
  </w:endnote>
  <w:endnote w:type="continuationSeparator" w:id="0">
    <w:p w14:paraId="2A8328F6" w14:textId="77777777" w:rsidR="00AF082C" w:rsidRDefault="00AF082C" w:rsidP="0046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4E724" w14:textId="77777777" w:rsidR="00AF082C" w:rsidRDefault="00AF082C" w:rsidP="00466F81">
      <w:pPr>
        <w:spacing w:after="0" w:line="240" w:lineRule="auto"/>
      </w:pPr>
      <w:r>
        <w:separator/>
      </w:r>
    </w:p>
  </w:footnote>
  <w:footnote w:type="continuationSeparator" w:id="0">
    <w:p w14:paraId="5A0B5189" w14:textId="77777777" w:rsidR="00AF082C" w:rsidRDefault="00AF082C" w:rsidP="00466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22DA"/>
    <w:multiLevelType w:val="hybridMultilevel"/>
    <w:tmpl w:val="A088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41FA"/>
    <w:multiLevelType w:val="hybridMultilevel"/>
    <w:tmpl w:val="C190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57A04"/>
    <w:multiLevelType w:val="hybridMultilevel"/>
    <w:tmpl w:val="CF0C9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6A25CB"/>
    <w:multiLevelType w:val="hybridMultilevel"/>
    <w:tmpl w:val="912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85426"/>
    <w:multiLevelType w:val="hybridMultilevel"/>
    <w:tmpl w:val="F71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81"/>
    <w:rsid w:val="00095C1B"/>
    <w:rsid w:val="00396908"/>
    <w:rsid w:val="00466F81"/>
    <w:rsid w:val="00502D6F"/>
    <w:rsid w:val="00581C40"/>
    <w:rsid w:val="005B324D"/>
    <w:rsid w:val="00604044"/>
    <w:rsid w:val="008C56D8"/>
    <w:rsid w:val="00A9606F"/>
    <w:rsid w:val="00AF082C"/>
    <w:rsid w:val="00B4609B"/>
    <w:rsid w:val="00C03373"/>
    <w:rsid w:val="00C23950"/>
    <w:rsid w:val="00C47A41"/>
    <w:rsid w:val="00C72575"/>
    <w:rsid w:val="00D87CF6"/>
    <w:rsid w:val="00D93C15"/>
    <w:rsid w:val="00DB5CCF"/>
    <w:rsid w:val="00DD68B8"/>
    <w:rsid w:val="00E74E56"/>
    <w:rsid w:val="00E95008"/>
    <w:rsid w:val="00ED664C"/>
    <w:rsid w:val="00EE1470"/>
    <w:rsid w:val="00F0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356B6"/>
  <w15:chartTrackingRefBased/>
  <w15:docId w15:val="{5C1F904F-BF30-4E1C-93F1-101187C3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81"/>
  </w:style>
  <w:style w:type="paragraph" w:styleId="Heading1">
    <w:name w:val="heading 1"/>
    <w:basedOn w:val="Normal"/>
    <w:next w:val="Normal"/>
    <w:link w:val="Heading1Char"/>
    <w:uiPriority w:val="9"/>
    <w:qFormat/>
    <w:rsid w:val="00C23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66F81"/>
    <w:pPr>
      <w:keepNext/>
      <w:keepLines/>
      <w:spacing w:before="40" w:after="0"/>
      <w:outlineLvl w:val="2"/>
    </w:pPr>
    <w:rPr>
      <w:rFonts w:ascii="Arial" w:eastAsiaTheme="majorEastAsia" w:hAnsi="Arial" w:cstheme="majorBidi"/>
      <w:b/>
      <w:color w:val="1F3763"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F81"/>
    <w:rPr>
      <w:rFonts w:ascii="Arial" w:eastAsiaTheme="majorEastAsia" w:hAnsi="Arial" w:cstheme="majorBidi"/>
      <w:b/>
      <w:color w:val="1F3763" w:themeColor="accent1" w:themeShade="7F"/>
      <w:sz w:val="24"/>
      <w:szCs w:val="24"/>
      <w:u w:val="single"/>
    </w:rPr>
  </w:style>
  <w:style w:type="paragraph" w:styleId="ListParagraph">
    <w:name w:val="List Paragraph"/>
    <w:basedOn w:val="Normal"/>
    <w:uiPriority w:val="34"/>
    <w:qFormat/>
    <w:rsid w:val="00466F81"/>
    <w:pPr>
      <w:ind w:left="720"/>
      <w:contextualSpacing/>
    </w:pPr>
  </w:style>
  <w:style w:type="character" w:styleId="Hyperlink">
    <w:name w:val="Hyperlink"/>
    <w:basedOn w:val="DefaultParagraphFont"/>
    <w:uiPriority w:val="99"/>
    <w:unhideWhenUsed/>
    <w:rsid w:val="00466F81"/>
    <w:rPr>
      <w:color w:val="0563C1" w:themeColor="hyperlink"/>
      <w:u w:val="single"/>
    </w:rPr>
  </w:style>
  <w:style w:type="paragraph" w:styleId="CommentText">
    <w:name w:val="annotation text"/>
    <w:basedOn w:val="Normal"/>
    <w:link w:val="CommentTextChar"/>
    <w:uiPriority w:val="99"/>
    <w:unhideWhenUsed/>
    <w:rsid w:val="00466F81"/>
    <w:pPr>
      <w:spacing w:line="240" w:lineRule="auto"/>
    </w:pPr>
    <w:rPr>
      <w:sz w:val="20"/>
      <w:szCs w:val="20"/>
    </w:rPr>
  </w:style>
  <w:style w:type="character" w:customStyle="1" w:styleId="CommentTextChar">
    <w:name w:val="Comment Text Char"/>
    <w:basedOn w:val="DefaultParagraphFont"/>
    <w:link w:val="CommentText"/>
    <w:uiPriority w:val="99"/>
    <w:rsid w:val="00466F81"/>
    <w:rPr>
      <w:sz w:val="20"/>
      <w:szCs w:val="20"/>
    </w:rPr>
  </w:style>
  <w:style w:type="character" w:customStyle="1" w:styleId="Heading1Char">
    <w:name w:val="Heading 1 Char"/>
    <w:basedOn w:val="DefaultParagraphFont"/>
    <w:link w:val="Heading1"/>
    <w:uiPriority w:val="9"/>
    <w:rsid w:val="00C23950"/>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F07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cb.co.uk/learning-and-development/set-learning-from-revi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6PBNlGZB_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cb.co.uk/media/2661/set-think-family-podcast-transcript.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scb.podbean.com/e/set-think-family/?token=d12555593958f6c38e20dc0c4de9df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7e32652d951e404e4b5d0e67704b781">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0dddab45dd0a5eefa95065c4228a55a1"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3F0BB-B0F0-4273-A3C8-AB7CF00E1247}">
  <ds:schemaRefs>
    <ds:schemaRef ds:uri="http://schemas.microsoft.com/office/2006/documentManagement/types"/>
    <ds:schemaRef ds:uri="http://schemas.microsoft.com/office/infopath/2007/PartnerControls"/>
    <ds:schemaRef ds:uri="6140e513-9c0e-4e73-9b29-9e780522eb94"/>
    <ds:schemaRef ds:uri="http://purl.org/dc/elements/1.1/"/>
    <ds:schemaRef ds:uri="http://schemas.microsoft.com/office/2006/metadata/properties"/>
    <ds:schemaRef ds:uri="a9f12287-5f74-4593-92c9-e973669b9a7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3A492C-3D16-48B0-8419-215C5BB5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F14A0-2C67-4A6C-8B55-7315B21AB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Rosser - ESCB/ESAB Senior Communications Officer</dc:creator>
  <cp:keywords/>
  <dc:description/>
  <cp:lastModifiedBy>Edwards, Anna</cp:lastModifiedBy>
  <cp:revision>2</cp:revision>
  <dcterms:created xsi:type="dcterms:W3CDTF">2021-10-05T12:20:00Z</dcterms:created>
  <dcterms:modified xsi:type="dcterms:W3CDTF">2021-10-05T12:20:00Z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2021-08-31T12:52:38Z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3bb8c530-3c96-489b-b4e2-1ed010669028</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